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D69F" w14:textId="77777777" w:rsidR="00FA7C40" w:rsidRDefault="00FA7C40" w:rsidP="00FA7C40">
      <w:pPr>
        <w:ind w:right="54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23153177"/>
      <w:r w:rsidRPr="0064284A">
        <w:rPr>
          <w:rFonts w:ascii="Arial" w:hAnsi="Arial" w:cs="Arial"/>
          <w:b/>
          <w:bCs/>
          <w:color w:val="000000" w:themeColor="text1"/>
        </w:rPr>
        <w:t>Z A P I S N I K</w:t>
      </w:r>
    </w:p>
    <w:p w14:paraId="477947A3" w14:textId="77777777" w:rsidR="00FA7C40" w:rsidRPr="0064284A" w:rsidRDefault="00FA7C40" w:rsidP="00FA7C40">
      <w:pPr>
        <w:ind w:right="540"/>
        <w:jc w:val="center"/>
        <w:rPr>
          <w:rFonts w:ascii="Arial" w:hAnsi="Arial" w:cs="Arial"/>
          <w:color w:val="000000" w:themeColor="text1"/>
        </w:rPr>
      </w:pPr>
    </w:p>
    <w:p w14:paraId="12BE02B2" w14:textId="6800260D" w:rsidR="00FA7C40" w:rsidRPr="0064284A" w:rsidRDefault="00FA7C40" w:rsidP="00FA7C4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Pr="0064284A">
        <w:rPr>
          <w:rFonts w:ascii="Arial" w:hAnsi="Arial" w:cs="Arial"/>
          <w:b/>
          <w:bCs/>
          <w:color w:val="000000" w:themeColor="text1"/>
        </w:rPr>
        <w:t>.</w:t>
      </w:r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Školskog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odbora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Osnovne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„Vladimir </w:t>
      </w:r>
      <w:proofErr w:type="spellStart"/>
      <w:proofErr w:type="gramStart"/>
      <w:r w:rsidRPr="0064284A">
        <w:rPr>
          <w:rFonts w:ascii="Arial" w:hAnsi="Arial" w:cs="Arial"/>
          <w:color w:val="000000" w:themeColor="text1"/>
        </w:rPr>
        <w:t>Nazor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“ </w:t>
      </w:r>
      <w:proofErr w:type="spellStart"/>
      <w:r w:rsidRPr="0064284A">
        <w:rPr>
          <w:rFonts w:ascii="Arial" w:hAnsi="Arial" w:cs="Arial"/>
          <w:color w:val="000000" w:themeColor="text1"/>
        </w:rPr>
        <w:t>Križevci</w:t>
      </w:r>
      <w:proofErr w:type="spellEnd"/>
      <w:proofErr w:type="gram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održan</w:t>
      </w:r>
      <w:r>
        <w:rPr>
          <w:rFonts w:ascii="Arial" w:hAnsi="Arial" w:cs="Arial"/>
          <w:color w:val="000000" w:themeColor="text1"/>
        </w:rPr>
        <w:t>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proofErr w:type="spellStart"/>
      <w:r w:rsidR="003D2DE0">
        <w:rPr>
          <w:rFonts w:ascii="Arial" w:hAnsi="Arial" w:cs="Arial"/>
          <w:color w:val="000000" w:themeColor="text1"/>
        </w:rPr>
        <w:t>četvrtak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="003D2DE0">
        <w:rPr>
          <w:rFonts w:ascii="Arial" w:hAnsi="Arial" w:cs="Arial"/>
          <w:color w:val="000000" w:themeColor="text1"/>
        </w:rPr>
        <w:t>7</w:t>
      </w:r>
      <w:r w:rsidRPr="0064284A"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srpnja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2025. </w:t>
      </w:r>
      <w:proofErr w:type="spellStart"/>
      <w:r w:rsidRPr="0064284A">
        <w:rPr>
          <w:rFonts w:ascii="Arial" w:hAnsi="Arial" w:cs="Arial"/>
          <w:color w:val="000000" w:themeColor="text1"/>
        </w:rPr>
        <w:t>godine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 w:rsidR="00E23473">
        <w:rPr>
          <w:rFonts w:ascii="Arial" w:hAnsi="Arial" w:cs="Arial"/>
          <w:color w:val="000000" w:themeColor="text1"/>
        </w:rPr>
        <w:t xml:space="preserve">s </w:t>
      </w:r>
      <w:proofErr w:type="spellStart"/>
      <w:r w:rsidR="00E23473">
        <w:rPr>
          <w:rFonts w:ascii="Arial" w:hAnsi="Arial" w:cs="Arial"/>
          <w:color w:val="000000" w:themeColor="text1"/>
        </w:rPr>
        <w:t>početkom</w:t>
      </w:r>
      <w:proofErr w:type="spellEnd"/>
      <w:r w:rsidR="00E23473">
        <w:rPr>
          <w:rFonts w:ascii="Arial" w:hAnsi="Arial" w:cs="Arial"/>
          <w:color w:val="000000" w:themeColor="text1"/>
        </w:rPr>
        <w:t xml:space="preserve"> u 17,00 sati.</w:t>
      </w:r>
      <w:r w:rsidRPr="0064284A">
        <w:rPr>
          <w:rFonts w:ascii="Arial" w:hAnsi="Arial" w:cs="Arial"/>
          <w:color w:val="000000" w:themeColor="text1"/>
        </w:rPr>
        <w:t xml:space="preserve">    </w:t>
      </w:r>
    </w:p>
    <w:p w14:paraId="1E7A2F46" w14:textId="7DEB03CA" w:rsidR="00FA7C40" w:rsidRPr="0064284A" w:rsidRDefault="00FA7C40" w:rsidP="00FA7C40">
      <w:pPr>
        <w:jc w:val="both"/>
        <w:rPr>
          <w:rFonts w:ascii="Arial" w:hAnsi="Arial" w:cs="Arial"/>
          <w:color w:val="000000" w:themeColor="text1"/>
          <w:lang w:val="x-none"/>
        </w:rPr>
      </w:pP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započela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r>
        <w:rPr>
          <w:rFonts w:ascii="Arial" w:hAnsi="Arial" w:cs="Arial"/>
          <w:color w:val="000000" w:themeColor="text1"/>
        </w:rPr>
        <w:t>1</w:t>
      </w:r>
      <w:r w:rsidR="00E23473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,</w:t>
      </w:r>
      <w:r w:rsidR="00E23473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 sati.</w:t>
      </w:r>
    </w:p>
    <w:p w14:paraId="50744448" w14:textId="77777777" w:rsidR="00FA7C40" w:rsidRPr="0064284A" w:rsidRDefault="00FA7C40" w:rsidP="00FA7C40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  <w:lang w:val="x-none"/>
        </w:rPr>
        <w:t>P</w:t>
      </w:r>
      <w:r w:rsidRPr="0064284A">
        <w:rPr>
          <w:rFonts w:ascii="Arial" w:hAnsi="Arial" w:cs="Arial"/>
          <w:color w:val="000000"/>
          <w:u w:val="single"/>
        </w:rPr>
        <w:t>ozvani</w:t>
      </w:r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176C4C4F" w14:textId="3F217DA4" w:rsidR="00FA7C40" w:rsidRPr="0064284A" w:rsidRDefault="00FA7C40" w:rsidP="00FA7C40">
      <w:pPr>
        <w:ind w:right="-2"/>
        <w:jc w:val="both"/>
        <w:rPr>
          <w:rFonts w:ascii="Arial" w:hAnsi="Arial" w:cs="Arial"/>
          <w:color w:val="000000"/>
        </w:rPr>
      </w:pPr>
      <w:proofErr w:type="spellStart"/>
      <w:r w:rsidRPr="0064284A">
        <w:rPr>
          <w:rFonts w:ascii="Arial" w:hAnsi="Arial" w:cs="Arial"/>
          <w:color w:val="000000"/>
        </w:rPr>
        <w:t>Sudjelovali</w:t>
      </w:r>
      <w:proofErr w:type="spellEnd"/>
      <w:r w:rsidRPr="0064284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30B8377C" w14:textId="77777777" w:rsidR="00FA7C40" w:rsidRPr="0064284A" w:rsidRDefault="00FA7C40" w:rsidP="00FA7C40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</w:rPr>
        <w:t>Z</w:t>
      </w:r>
      <w:proofErr w:type="spellStart"/>
      <w:r w:rsidRPr="0064284A">
        <w:rPr>
          <w:rFonts w:ascii="Arial" w:hAnsi="Arial" w:cs="Arial"/>
          <w:color w:val="000000"/>
          <w:u w:val="single"/>
          <w:lang w:val="x-none"/>
        </w:rPr>
        <w:t>apisničar</w:t>
      </w:r>
      <w:r w:rsidRPr="0064284A">
        <w:rPr>
          <w:rFonts w:ascii="Arial" w:hAnsi="Arial" w:cs="Arial"/>
          <w:color w:val="000000"/>
          <w:u w:val="single"/>
        </w:rPr>
        <w:t>ka</w:t>
      </w:r>
      <w:proofErr w:type="spellEnd"/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  <w:lang w:val="x-none"/>
        </w:rPr>
        <w:t xml:space="preserve"> </w:t>
      </w:r>
      <w:r w:rsidRPr="0064284A">
        <w:rPr>
          <w:rFonts w:ascii="Arial" w:hAnsi="Arial" w:cs="Arial"/>
          <w:color w:val="000000"/>
        </w:rPr>
        <w:t>Jasna Zdilar Pešutić</w:t>
      </w:r>
    </w:p>
    <w:p w14:paraId="26356026" w14:textId="77777777" w:rsidR="00FA7C40" w:rsidRDefault="00FA7C40" w:rsidP="00FA7C40">
      <w:pPr>
        <w:jc w:val="both"/>
        <w:rPr>
          <w:rFonts w:ascii="Arial" w:hAnsi="Arial" w:cs="Arial"/>
          <w:color w:val="000000"/>
          <w:lang w:val="x-none"/>
        </w:rPr>
      </w:pPr>
      <w:proofErr w:type="spellStart"/>
      <w:r w:rsidRPr="0064284A">
        <w:rPr>
          <w:rFonts w:ascii="Arial" w:hAnsi="Arial" w:cs="Arial"/>
          <w:color w:val="000000"/>
          <w:u w:val="single"/>
        </w:rPr>
        <w:t>Ravnatelj</w:t>
      </w:r>
      <w:proofErr w:type="spellEnd"/>
      <w:r w:rsidRPr="0064284A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t xml:space="preserve"> </w:t>
      </w:r>
      <w:r w:rsidRPr="0064284A">
        <w:rPr>
          <w:rFonts w:ascii="Arial" w:hAnsi="Arial" w:cs="Arial"/>
          <w:color w:val="000000"/>
        </w:rPr>
        <w:t>Igor</w:t>
      </w:r>
      <w:r>
        <w:rPr>
          <w:rFonts w:ascii="Arial" w:hAnsi="Arial" w:cs="Arial"/>
          <w:color w:val="000000"/>
        </w:rPr>
        <w:t xml:space="preserve"> </w:t>
      </w:r>
      <w:r w:rsidRPr="0064284A">
        <w:rPr>
          <w:rFonts w:ascii="Arial" w:hAnsi="Arial" w:cs="Arial"/>
          <w:color w:val="000000"/>
        </w:rPr>
        <w:t>Brkić</w:t>
      </w:r>
      <w:r w:rsidRPr="0064284A">
        <w:rPr>
          <w:rFonts w:ascii="Arial" w:hAnsi="Arial" w:cs="Arial"/>
          <w:color w:val="000000"/>
          <w:lang w:val="x-none"/>
        </w:rPr>
        <w:t>  </w:t>
      </w:r>
    </w:p>
    <w:p w14:paraId="68B64BF2" w14:textId="77777777" w:rsidR="00FA7C40" w:rsidRPr="0064284A" w:rsidRDefault="00FA7C40" w:rsidP="00FA7C40">
      <w:pPr>
        <w:jc w:val="both"/>
        <w:rPr>
          <w:rFonts w:ascii="Arial" w:hAnsi="Arial" w:cs="Arial"/>
          <w:b/>
          <w:bCs/>
          <w:color w:val="000000"/>
          <w:szCs w:val="24"/>
          <w:bdr w:val="none" w:sz="0" w:space="0" w:color="auto" w:frame="1"/>
        </w:rPr>
      </w:pPr>
      <w:r w:rsidRPr="0064284A">
        <w:rPr>
          <w:rFonts w:ascii="Arial" w:hAnsi="Arial" w:cs="Arial"/>
          <w:color w:val="000000"/>
          <w:lang w:val="x-none"/>
        </w:rPr>
        <w:br/>
      </w: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r w:rsidRPr="0064284A">
        <w:rPr>
          <w:rFonts w:ascii="Arial" w:hAnsi="Arial" w:cs="Arial"/>
          <w:color w:val="000000"/>
          <w:szCs w:val="24"/>
        </w:rPr>
        <w:t>                  </w:t>
      </w:r>
    </w:p>
    <w:p w14:paraId="348C8152" w14:textId="77777777" w:rsidR="00FA7C40" w:rsidRPr="0064284A" w:rsidRDefault="00FA7C40" w:rsidP="00FA7C40">
      <w:pPr>
        <w:jc w:val="both"/>
        <w:rPr>
          <w:rFonts w:ascii="Arial" w:hAnsi="Arial" w:cs="Arial"/>
          <w:color w:val="000000"/>
          <w:szCs w:val="24"/>
        </w:rPr>
      </w:pP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FA7C40" w:rsidRPr="0064284A" w14:paraId="4D21D29A" w14:textId="77777777" w:rsidTr="00D155BE">
        <w:trPr>
          <w:trHeight w:val="134"/>
        </w:trPr>
        <w:tc>
          <w:tcPr>
            <w:tcW w:w="426" w:type="dxa"/>
            <w:shd w:val="clear" w:color="auto" w:fill="auto"/>
          </w:tcPr>
          <w:p w14:paraId="0D49EAAD" w14:textId="77777777" w:rsidR="00FA7C40" w:rsidRPr="00E23473" w:rsidRDefault="00FA7C40" w:rsidP="00D155BE">
            <w:pPr>
              <w:rPr>
                <w:rStyle w:val="Istaknuto"/>
                <w:rFonts w:ascii="Arial" w:eastAsia="Calibri" w:hAnsi="Arial" w:cs="Arial"/>
                <w:i w:val="0"/>
                <w:iCs w:val="0"/>
                <w:szCs w:val="24"/>
              </w:rPr>
            </w:pPr>
          </w:p>
          <w:p w14:paraId="67BCB80D" w14:textId="77777777" w:rsidR="00FA7C40" w:rsidRPr="00E23473" w:rsidRDefault="00FA7C40" w:rsidP="00D155BE">
            <w:pPr>
              <w:rPr>
                <w:rStyle w:val="Istaknuto"/>
                <w:rFonts w:ascii="Arial" w:eastAsia="Calibri" w:hAnsi="Arial" w:cs="Arial"/>
                <w:i w:val="0"/>
                <w:iCs w:val="0"/>
                <w:szCs w:val="24"/>
              </w:rPr>
            </w:pPr>
          </w:p>
          <w:p w14:paraId="4DEDB652" w14:textId="77777777" w:rsidR="00FA7C40" w:rsidRPr="00E23473" w:rsidRDefault="00FA7C40" w:rsidP="00D155BE">
            <w:pPr>
              <w:rPr>
                <w:rStyle w:val="Istaknuto"/>
                <w:rFonts w:ascii="Arial" w:eastAsia="Calibri" w:hAnsi="Arial" w:cs="Arial"/>
                <w:i w:val="0"/>
                <w:iCs w:val="0"/>
                <w:szCs w:val="24"/>
              </w:rPr>
            </w:pPr>
          </w:p>
          <w:p w14:paraId="33783B56" w14:textId="77777777" w:rsidR="00FA7C40" w:rsidRPr="00E23473" w:rsidRDefault="00FA7C40" w:rsidP="00D155BE">
            <w:pPr>
              <w:rPr>
                <w:rStyle w:val="Istaknuto"/>
                <w:rFonts w:ascii="Arial" w:eastAsia="Calibri" w:hAnsi="Arial" w:cs="Arial"/>
                <w:i w:val="0"/>
                <w:iCs w:val="0"/>
                <w:szCs w:val="24"/>
              </w:rPr>
            </w:pPr>
          </w:p>
        </w:tc>
        <w:tc>
          <w:tcPr>
            <w:tcW w:w="9600" w:type="dxa"/>
          </w:tcPr>
          <w:p w14:paraId="26891A06" w14:textId="77777777" w:rsidR="00FA7C40" w:rsidRPr="00E23473" w:rsidRDefault="00FA7C40" w:rsidP="00D155B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E23473" w:rsidRPr="00E23473" w14:paraId="24ECF492" w14:textId="77777777" w:rsidTr="00D155BE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78EC9258" w14:textId="77777777" w:rsidR="00E23473" w:rsidRPr="0074125E" w:rsidRDefault="00E23473" w:rsidP="00E23473">
                  <w:pPr>
                    <w:pStyle w:val="Odlomakpopisa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Usvajanje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zapisnika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elektronske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sjednice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Školskog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odbora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od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srpnja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2025</w:t>
                  </w:r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godine</w:t>
                  </w:r>
                  <w:proofErr w:type="spellEnd"/>
                  <w:r w:rsidRPr="00DD54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14:paraId="26B729D7" w14:textId="77777777" w:rsidR="00E23473" w:rsidRDefault="00E23473" w:rsidP="00E2347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financijskih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izvještaja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razdoblje</w:t>
                  </w:r>
                  <w:proofErr w:type="spellEnd"/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I-VI 2025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</w:p>
                <w:p w14:paraId="5BCCD7EC" w14:textId="77777777" w:rsidR="00E23473" w:rsidRPr="00360FC8" w:rsidRDefault="00E23473" w:rsidP="00E2347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prijedloga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polugodišnjeg</w:t>
                  </w:r>
                  <w:proofErr w:type="spellEnd"/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izvještaja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izvršenju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plana za</w:t>
                  </w:r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2025. </w:t>
                  </w:r>
                </w:p>
                <w:p w14:paraId="5C846920" w14:textId="6FC87241" w:rsidR="00E23473" w:rsidRDefault="005C3F83" w:rsidP="00E2347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izvršenju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plana;</w:t>
                  </w:r>
                </w:p>
                <w:p w14:paraId="276F40D1" w14:textId="1768EE76" w:rsidR="00FA7C40" w:rsidRPr="005C3F83" w:rsidRDefault="005C3F83" w:rsidP="005C3F83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Razno</w:t>
                  </w:r>
                  <w:proofErr w:type="spellEnd"/>
                </w:p>
                <w:p w14:paraId="05D72A09" w14:textId="5C79E5A7" w:rsidR="00FA7C40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17,10 sati.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: Tomica Turković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Monika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Penđak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Ružić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pravovremeno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javili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svoju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odsutnost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B6C15ED" w14:textId="11A9F7E0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pozdravlja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čitanjem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097137B" w14:textId="4EA73612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dnevnim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nema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primjedbi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isti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FD22AD3" w14:textId="1C3FBE29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1.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Točkom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prihvaćanjem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zapisnika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4.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elektronske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zapisnika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46EF3E0" w14:textId="36F25BEE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financijskih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izvještaja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razdoblje</w:t>
                  </w:r>
                  <w:proofErr w:type="spellEnd"/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I-VI 2025</w:t>
                  </w:r>
                </w:p>
                <w:p w14:paraId="0ABD7901" w14:textId="6B165E7D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Ravnatelj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preuzima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očituje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točku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Navodi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da je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izvještajima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velika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razlika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tiče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cijene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prijevoza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gdje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najviše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odstupanja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433E4C2" w14:textId="5D993CFA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Nadovezuje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također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povećane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obveze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smislu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knjiženja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plaća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Naime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Zakonom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proračunu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plaće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trebaju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knjižiti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razdoblju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isplaćena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plaća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Razlika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samo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knjiženju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AC52D98" w14:textId="4077CF9B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stavlja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glasanje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“ZA”</w:t>
                  </w:r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53F37B05" w14:textId="7B3EAFE5" w:rsidR="00E23473" w:rsidRDefault="00E23473" w:rsidP="00E23473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Usvajanje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prijedloga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polugodišnjeg</w:t>
                  </w:r>
                  <w:proofErr w:type="spellEnd"/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izvještaja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izvršenju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plana za</w:t>
                  </w:r>
                  <w:r w:rsidRPr="004803E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2025. </w:t>
                  </w:r>
                </w:p>
                <w:p w14:paraId="2EEEE598" w14:textId="64EF1055" w:rsidR="00E23473" w:rsidRDefault="00E23473" w:rsidP="00E2347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rebalansu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kupnje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radnih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bilježnica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grad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Križevci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preuzeo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sebe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Također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razlika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vezana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Naime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zatvaranje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ceste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Kloštra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Vojakovačkog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dovelo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do toga da je autobus koji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prevozi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učenike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morao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voziti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duljim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putem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tog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razloga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znatno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povećala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cijena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prijevoza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učenika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Nadalje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bitno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istaknuti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grad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provodi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javnu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nabavu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1E56B3B" w14:textId="469B25BC" w:rsidR="005C3F83" w:rsidRDefault="005C3F83" w:rsidP="005C3F8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stavlja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glasanje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“ZA”.</w:t>
                  </w:r>
                </w:p>
                <w:p w14:paraId="326E65F4" w14:textId="3DCD6613" w:rsidR="005C3F83" w:rsidRDefault="005C3F83" w:rsidP="005C3F83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Izvješće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izvršenju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plana</w:t>
                  </w:r>
                </w:p>
                <w:p w14:paraId="57122B1B" w14:textId="4EC3E378" w:rsidR="005C3F83" w:rsidRPr="005C3F83" w:rsidRDefault="005C3F83" w:rsidP="005C3F8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Ravnatelj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preuzima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navodi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kako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natjecanja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završila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dovela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do toga da je OŠ 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osvojila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tri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mjesta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područja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Likovne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kulturem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Tjelesne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zdravstvene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kulture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tehničke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kulture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to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državnim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natjecanjima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Završava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projekt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e-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učitelji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koji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dosad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zaposleni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dobili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vlastita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prijenosna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računala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Nažalost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to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više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nije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moguće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nabaviti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Već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počela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nabavljati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stolna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računala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kojima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cijena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znatno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porasla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kraju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školske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2024/2025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dvoje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učenika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ide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popravni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ispit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koji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odvijati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krajem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kolovoza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Ukupno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odrađeno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nastavnih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dana,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ukupno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bilo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nenastavna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dana. OŠ 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dalje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nastavlja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akreditacijom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do 2027.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vezana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Erasmus.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mobilnosti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završene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lipnju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dobila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ukupno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40.000,00€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iduću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Školsku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Uključeni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učenici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je 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učenika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odradilo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Erasmus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stavlja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glasanje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“ZA”.</w:t>
                  </w:r>
                </w:p>
                <w:p w14:paraId="4D9D2DBC" w14:textId="0D539478" w:rsidR="005C3F83" w:rsidRDefault="005C3F83" w:rsidP="005C3F83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Razno</w:t>
                  </w:r>
                  <w:proofErr w:type="spellEnd"/>
                </w:p>
                <w:p w14:paraId="7F61CAAE" w14:textId="69BC3933" w:rsidR="005C3F83" w:rsidRDefault="005C3F83" w:rsidP="005C3F8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ukratko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prezentira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aktivnosti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provesti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tijekom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ljetnih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praznika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krećenje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prizemlja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OŠ,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kat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predmetne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Također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napominje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situaciju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gdje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pojavilo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gnijezdo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dimnjaku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kotlovnice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počela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intenzivno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rješavati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pitanje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obzirom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početka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iduće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bliži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sezona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grijanja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toga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zamjenik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ŠO,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Hrvoje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Gužvinec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obavještava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ostavku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zamjenika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Zahvaljuje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suradnji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posebno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ravnatelju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01901C7B" w14:textId="7509E242" w:rsidR="00E23473" w:rsidRPr="005C3F83" w:rsidRDefault="005C3F83" w:rsidP="005C3F8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završava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17.45.</w:t>
                  </w:r>
                </w:p>
                <w:p w14:paraId="4F643FE1" w14:textId="77777777" w:rsid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4598D548" w14:textId="77777777" w:rsidR="00E23473" w:rsidRPr="00E23473" w:rsidRDefault="00E23473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2A745A49" w14:textId="5A9E23A7" w:rsidR="00FA7C40" w:rsidRPr="00E23473" w:rsidRDefault="00FA7C40" w:rsidP="00D155BE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ascii="Arial" w:hAnsi="Arial" w:cs="Arial"/>
                      <w:szCs w:val="24"/>
                    </w:rPr>
                  </w:pPr>
                  <w:r w:rsidRPr="00E23473">
                    <w:rPr>
                      <w:rFonts w:ascii="Arial" w:hAnsi="Arial" w:cs="Arial"/>
                      <w:szCs w:val="24"/>
                      <w:lang w:val="x-none"/>
                    </w:rPr>
                    <w:t>KLASA:</w:t>
                  </w:r>
                  <w:r w:rsidRPr="00E23473">
                    <w:rPr>
                      <w:rFonts w:ascii="Arial" w:hAnsi="Arial" w:cs="Arial"/>
                      <w:szCs w:val="24"/>
                      <w:bdr w:val="none" w:sz="0" w:space="0" w:color="auto" w:frame="1"/>
                    </w:rPr>
                    <w:t xml:space="preserve"> 007-04/25-02/0</w:t>
                  </w:r>
                  <w:r w:rsidR="005C3F83">
                    <w:rPr>
                      <w:rFonts w:ascii="Arial" w:hAnsi="Arial" w:cs="Arial"/>
                      <w:szCs w:val="24"/>
                      <w:bdr w:val="none" w:sz="0" w:space="0" w:color="auto" w:frame="1"/>
                    </w:rPr>
                    <w:t>5</w:t>
                  </w:r>
                  <w:r w:rsidRPr="00E23473">
                    <w:rPr>
                      <w:rFonts w:ascii="Arial" w:hAnsi="Arial" w:cs="Arial"/>
                      <w:szCs w:val="24"/>
                      <w:lang w:val="x-none"/>
                    </w:rPr>
                    <w:tab/>
                  </w:r>
                </w:p>
                <w:p w14:paraId="4CB87324" w14:textId="77777777" w:rsidR="00FA7C40" w:rsidRPr="00E23473" w:rsidRDefault="00FA7C40" w:rsidP="00D155BE">
                  <w:pPr>
                    <w:ind w:right="540"/>
                    <w:rPr>
                      <w:rFonts w:ascii="Arial" w:hAnsi="Arial" w:cs="Arial"/>
                      <w:szCs w:val="24"/>
                      <w:bdr w:val="none" w:sz="0" w:space="0" w:color="auto" w:frame="1"/>
                    </w:rPr>
                  </w:pPr>
                  <w:r w:rsidRPr="00E23473">
                    <w:rPr>
                      <w:rFonts w:ascii="Arial" w:hAnsi="Arial" w:cs="Arial"/>
                      <w:szCs w:val="24"/>
                      <w:lang w:val="x-none"/>
                    </w:rPr>
                    <w:t xml:space="preserve">URBROJ: </w:t>
                  </w:r>
                  <w:r w:rsidRPr="00E23473">
                    <w:rPr>
                      <w:rFonts w:ascii="Arial" w:hAnsi="Arial" w:cs="Arial"/>
                      <w:szCs w:val="24"/>
                      <w:bdr w:val="none" w:sz="0" w:space="0" w:color="auto" w:frame="1"/>
                    </w:rPr>
                    <w:t>2137-43-03-25-2</w:t>
                  </w:r>
                </w:p>
                <w:p w14:paraId="5B261700" w14:textId="1BF4D2F3" w:rsidR="00FA7C40" w:rsidRPr="00E23473" w:rsidRDefault="00FA7C40" w:rsidP="00D155BE">
                  <w:pPr>
                    <w:ind w:right="540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r w:rsidRPr="00E23473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="005C3F83">
                    <w:rPr>
                      <w:rFonts w:ascii="Arial" w:hAnsi="Arial" w:cs="Arial"/>
                      <w:szCs w:val="24"/>
                    </w:rPr>
                    <w:t>7</w:t>
                  </w:r>
                  <w:r w:rsidRPr="00E23473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srpnja</w:t>
                  </w:r>
                  <w:proofErr w:type="spellEnd"/>
                  <w:r w:rsidRPr="00E23473"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</w:p>
                <w:p w14:paraId="5F4D3C8E" w14:textId="77777777" w:rsidR="00FA7C40" w:rsidRPr="00E23473" w:rsidRDefault="00FA7C40" w:rsidP="00D155BE">
                  <w:pPr>
                    <w:ind w:right="54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Zapisničarka</w:t>
                  </w:r>
                  <w:proofErr w:type="spellEnd"/>
                  <w:r w:rsidRPr="00E23473">
                    <w:rPr>
                      <w:rFonts w:ascii="Arial" w:hAnsi="Arial" w:cs="Arial"/>
                      <w:szCs w:val="24"/>
                    </w:rPr>
                    <w:t xml:space="preserve">                                                                       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 w:rsidRPr="00E2347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E2347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</w:p>
                <w:p w14:paraId="31190075" w14:textId="77777777" w:rsidR="00FA7C40" w:rsidRPr="00E23473" w:rsidRDefault="00FA7C40" w:rsidP="00D155BE">
                  <w:pPr>
                    <w:ind w:right="540"/>
                    <w:rPr>
                      <w:rFonts w:ascii="Arial" w:hAnsi="Arial" w:cs="Arial"/>
                      <w:szCs w:val="24"/>
                    </w:rPr>
                  </w:pPr>
                  <w:r w:rsidRPr="00E23473">
                    <w:rPr>
                      <w:rFonts w:ascii="Arial" w:hAnsi="Arial" w:cs="Arial"/>
                      <w:szCs w:val="24"/>
                    </w:rPr>
                    <w:t>Jasna Zdilar Pešutić</w:t>
                  </w:r>
                  <w:r w:rsidRPr="00E23473">
                    <w:rPr>
                      <w:rFonts w:ascii="Arial" w:hAnsi="Arial" w:cs="Arial"/>
                      <w:szCs w:val="24"/>
                    </w:rPr>
                    <w:tab/>
                  </w:r>
                  <w:r w:rsidRPr="00E23473">
                    <w:rPr>
                      <w:rFonts w:ascii="Arial" w:hAnsi="Arial" w:cs="Arial"/>
                      <w:szCs w:val="24"/>
                    </w:rPr>
                    <w:tab/>
                  </w:r>
                  <w:r w:rsidRPr="00E23473">
                    <w:rPr>
                      <w:rFonts w:ascii="Arial" w:hAnsi="Arial" w:cs="Arial"/>
                      <w:szCs w:val="24"/>
                    </w:rPr>
                    <w:tab/>
                    <w:t xml:space="preserve">                                               Sanja </w:t>
                  </w:r>
                  <w:proofErr w:type="spellStart"/>
                  <w:r w:rsidRPr="00E23473">
                    <w:rPr>
                      <w:rFonts w:ascii="Arial" w:hAnsi="Arial" w:cs="Arial"/>
                      <w:szCs w:val="24"/>
                    </w:rPr>
                    <w:t>Štubelj</w:t>
                  </w:r>
                  <w:proofErr w:type="spellEnd"/>
                </w:p>
                <w:p w14:paraId="27335F6C" w14:textId="77777777" w:rsidR="00FA7C40" w:rsidRPr="00E23473" w:rsidRDefault="00FA7C40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78E080AE" w14:textId="77777777" w:rsidR="00FA7C40" w:rsidRPr="00E23473" w:rsidRDefault="00FA7C40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57B59A3B" w14:textId="77777777" w:rsidR="00FA7C40" w:rsidRPr="00E23473" w:rsidRDefault="00FA7C40" w:rsidP="00D155B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6CEAAF8F" w14:textId="77777777" w:rsidR="00FA7C40" w:rsidRPr="00E23473" w:rsidRDefault="00FA7C40" w:rsidP="00D155B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025DF0E5" w14:textId="77777777" w:rsidR="00FA7C40" w:rsidRPr="00E23473" w:rsidRDefault="00FA7C40" w:rsidP="00D155B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23473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8EF430D" w14:textId="77777777" w:rsidR="00FA7C40" w:rsidRPr="00E23473" w:rsidRDefault="00FA7C40" w:rsidP="00D155BE">
                  <w:pPr>
                    <w:widowControl w:val="0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DEC3CF7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AEBA826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D9E7A2B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3C19E96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25EDA79A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4380E2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1DB431F3" w14:textId="77777777" w:rsidR="00FA7C40" w:rsidRPr="00E23473" w:rsidRDefault="00FA7C40" w:rsidP="00D155BE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316F4ED8" w14:textId="77777777" w:rsidR="00FA7C40" w:rsidRPr="00E23473" w:rsidRDefault="00FA7C40" w:rsidP="00D155B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6308B17" w14:textId="77777777" w:rsidR="00FA7C40" w:rsidRPr="00E23473" w:rsidRDefault="00FA7C40" w:rsidP="00D155B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54A3EE" w14:textId="77777777" w:rsidR="00FA7C40" w:rsidRPr="00E23473" w:rsidRDefault="00FA7C40" w:rsidP="00D155BE">
            <w:pPr>
              <w:pStyle w:val="Odlomakpopisa"/>
              <w:rPr>
                <w:rFonts w:ascii="Arial" w:hAnsi="Arial" w:cs="Arial"/>
                <w:szCs w:val="24"/>
              </w:rPr>
            </w:pPr>
          </w:p>
        </w:tc>
      </w:tr>
      <w:tr w:rsidR="00FA7C40" w:rsidRPr="0064284A" w14:paraId="30567B2A" w14:textId="77777777" w:rsidTr="00D155BE">
        <w:trPr>
          <w:trHeight w:val="134"/>
        </w:trPr>
        <w:tc>
          <w:tcPr>
            <w:tcW w:w="426" w:type="dxa"/>
            <w:shd w:val="clear" w:color="auto" w:fill="auto"/>
          </w:tcPr>
          <w:p w14:paraId="2599426D" w14:textId="77777777" w:rsidR="00FA7C40" w:rsidRPr="0064284A" w:rsidRDefault="00FA7C40" w:rsidP="00D155BE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03961955" w14:textId="77777777" w:rsidR="00FA7C40" w:rsidRPr="0064284A" w:rsidRDefault="00FA7C40" w:rsidP="00D155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00BFD753" w14:textId="77777777" w:rsidR="00FA7C40" w:rsidRPr="0064284A" w:rsidRDefault="00FA7C40" w:rsidP="00FA7C40">
      <w:pPr>
        <w:ind w:right="540"/>
        <w:rPr>
          <w:rFonts w:ascii="Arial" w:hAnsi="Arial" w:cs="Arial"/>
          <w:color w:val="000000"/>
          <w:lang w:val="x-none"/>
        </w:rPr>
      </w:pPr>
    </w:p>
    <w:p w14:paraId="5AB42F31" w14:textId="77777777" w:rsidR="00FA7C40" w:rsidRPr="0064284A" w:rsidRDefault="00FA7C40" w:rsidP="00FA7C40">
      <w:pPr>
        <w:tabs>
          <w:tab w:val="left" w:pos="2154"/>
          <w:tab w:val="left" w:pos="6064"/>
        </w:tabs>
        <w:ind w:right="540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tab/>
      </w:r>
      <w:r w:rsidRPr="0064284A">
        <w:rPr>
          <w:rFonts w:ascii="Arial" w:hAnsi="Arial" w:cs="Arial"/>
          <w:color w:val="000000"/>
        </w:rPr>
        <w:tab/>
        <w:t>                              </w:t>
      </w:r>
      <w:r w:rsidRPr="0064284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FA7C40" w:rsidRPr="0064284A" w14:paraId="28559E5E" w14:textId="77777777" w:rsidTr="00D155BE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52CD" w14:textId="77777777" w:rsidR="00FA7C40" w:rsidRPr="0064284A" w:rsidRDefault="00FA7C40" w:rsidP="00D155BE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FA7C40" w:rsidRPr="0064284A" w14:paraId="3318670F" w14:textId="77777777" w:rsidTr="00D155BE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FA7C40" w:rsidRPr="0064284A" w14:paraId="4B3DC2A3" w14:textId="77777777" w:rsidTr="00D155BE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FA7C40" w:rsidRPr="0064284A" w14:paraId="01F63267" w14:textId="77777777" w:rsidTr="00D155BE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420C6C46" w14:textId="77777777" w:rsidR="00FA7C40" w:rsidRPr="0064284A" w:rsidRDefault="00FA7C40" w:rsidP="00D155BE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71A27F2F" w14:textId="77777777" w:rsidR="00FA7C40" w:rsidRPr="0064284A" w:rsidRDefault="00FA7C40" w:rsidP="00D155B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CF84480" w14:textId="77777777" w:rsidR="00FA7C40" w:rsidRPr="0064284A" w:rsidRDefault="00FA7C40" w:rsidP="00D155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  <w:p w14:paraId="3B68CD5A" w14:textId="77777777" w:rsidR="00FA7C40" w:rsidRPr="0064284A" w:rsidRDefault="00FA7C40" w:rsidP="00D155BE">
                        <w:pPr>
                          <w:pStyle w:val="Bezproreda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FA7C40" w:rsidRPr="0064284A" w14:paraId="354FBC15" w14:textId="77777777" w:rsidTr="00D155BE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3E9AC0EC" w14:textId="77777777" w:rsidR="00FA7C40" w:rsidRPr="0064284A" w:rsidRDefault="00FA7C40" w:rsidP="00D155BE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51E805A9" w14:textId="77777777" w:rsidR="00FA7C40" w:rsidRPr="0064284A" w:rsidRDefault="00FA7C40" w:rsidP="00D155BE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4D2DFBC3" w14:textId="77777777" w:rsidR="00FA7C40" w:rsidRPr="0064284A" w:rsidRDefault="00FA7C40" w:rsidP="00D155BE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782039BC" w14:textId="77777777" w:rsidR="00FA7C40" w:rsidRPr="0064284A" w:rsidRDefault="00FA7C40" w:rsidP="00D155BE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0753CF98" w14:textId="77777777" w:rsidR="00FA7C40" w:rsidRPr="0064284A" w:rsidRDefault="00FA7C40" w:rsidP="00D155BE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4EEF3E81" w14:textId="77777777" w:rsidR="00FA7C40" w:rsidRPr="0064284A" w:rsidRDefault="00FA7C40" w:rsidP="00D155BE">
                        <w:pPr>
                          <w:pStyle w:val="Odlomakpopisa"/>
                          <w:ind w:left="36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A7C40" w:rsidRPr="0064284A" w14:paraId="495CA8D5" w14:textId="77777777" w:rsidTr="00D155BE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1B60D703" w14:textId="77777777" w:rsidR="00FA7C40" w:rsidRPr="0064284A" w:rsidRDefault="00FA7C40" w:rsidP="00D155BE">
                        <w:pPr>
                          <w:ind w:right="54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D2541DD" w14:textId="77777777" w:rsidR="00FA7C40" w:rsidRPr="0064284A" w:rsidRDefault="00FA7C40" w:rsidP="00D155BE">
                        <w:pPr>
                          <w:ind w:right="54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A7C40" w:rsidRPr="0064284A" w14:paraId="42D05E56" w14:textId="77777777" w:rsidTr="00D155BE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02C5BC70" w14:textId="77777777" w:rsidR="00FA7C40" w:rsidRPr="0064284A" w:rsidRDefault="00FA7C40" w:rsidP="00D155B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76DACBFB" w14:textId="77777777" w:rsidR="00FA7C40" w:rsidRPr="0064284A" w:rsidRDefault="00FA7C40" w:rsidP="00D155BE">
                        <w:pPr>
                          <w:jc w:val="both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EBFE747" w14:textId="77777777" w:rsidR="00FA7C40" w:rsidRPr="0064284A" w:rsidRDefault="00FA7C40" w:rsidP="00D155B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4A36833D" w14:textId="77777777" w:rsidR="00FA7C40" w:rsidRPr="0064284A" w:rsidRDefault="00FA7C40" w:rsidP="00D155BE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FA7C40" w:rsidRPr="0064284A" w14:paraId="67844E18" w14:textId="77777777" w:rsidTr="00D155BE">
        <w:trPr>
          <w:trHeight w:val="117"/>
        </w:trPr>
        <w:tc>
          <w:tcPr>
            <w:tcW w:w="10798" w:type="dxa"/>
          </w:tcPr>
          <w:p w14:paraId="77A94281" w14:textId="77777777" w:rsidR="00FA7C40" w:rsidRPr="0064284A" w:rsidRDefault="00FA7C40" w:rsidP="00D155BE">
            <w:pPr>
              <w:rPr>
                <w:rFonts w:ascii="Arial" w:hAnsi="Arial" w:cs="Arial"/>
                <w:color w:val="000000"/>
              </w:rPr>
            </w:pPr>
            <w:r w:rsidRPr="0064284A">
              <w:rPr>
                <w:rFonts w:ascii="Arial" w:hAnsi="Arial" w:cs="Arial"/>
                <w:color w:val="000000"/>
              </w:rPr>
              <w:tab/>
            </w:r>
          </w:p>
          <w:p w14:paraId="33693E35" w14:textId="77777777" w:rsidR="00FA7C40" w:rsidRPr="0064284A" w:rsidRDefault="00FA7C40" w:rsidP="00D155B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9B4DC90" w14:textId="77777777" w:rsidR="00FA7C40" w:rsidRPr="0064284A" w:rsidRDefault="00FA7C40" w:rsidP="00FA7C40">
      <w:pPr>
        <w:ind w:right="540"/>
        <w:rPr>
          <w:rFonts w:ascii="Arial" w:hAnsi="Arial" w:cs="Arial"/>
          <w:color w:val="000000"/>
        </w:rPr>
      </w:pPr>
    </w:p>
    <w:bookmarkEnd w:id="0"/>
    <w:p w14:paraId="0A7E6518" w14:textId="77777777" w:rsidR="00FA7C40" w:rsidRPr="0064284A" w:rsidRDefault="00FA7C40" w:rsidP="00FA7C40">
      <w:pPr>
        <w:rPr>
          <w:rFonts w:ascii="Arial" w:hAnsi="Arial" w:cs="Arial"/>
        </w:rPr>
      </w:pPr>
    </w:p>
    <w:p w14:paraId="2DF908F6" w14:textId="77777777" w:rsidR="00FA7C40" w:rsidRPr="0064284A" w:rsidRDefault="00FA7C40" w:rsidP="00FA7C40">
      <w:pPr>
        <w:rPr>
          <w:rFonts w:ascii="Arial" w:hAnsi="Arial" w:cs="Arial"/>
        </w:rPr>
      </w:pPr>
    </w:p>
    <w:p w14:paraId="45D98488" w14:textId="77777777" w:rsidR="00FA7C40" w:rsidRPr="0064284A" w:rsidRDefault="00FA7C40" w:rsidP="00FA7C40">
      <w:pPr>
        <w:rPr>
          <w:rFonts w:ascii="Arial" w:hAnsi="Arial" w:cs="Arial"/>
        </w:rPr>
      </w:pPr>
    </w:p>
    <w:p w14:paraId="44BE33F7" w14:textId="77777777" w:rsidR="00FA7C40" w:rsidRPr="0064284A" w:rsidRDefault="00FA7C40" w:rsidP="00FA7C40">
      <w:pPr>
        <w:rPr>
          <w:rFonts w:ascii="Arial" w:hAnsi="Arial" w:cs="Arial"/>
        </w:rPr>
      </w:pPr>
    </w:p>
    <w:p w14:paraId="4FDC6D69" w14:textId="77777777" w:rsidR="00FA7C40" w:rsidRPr="0064284A" w:rsidRDefault="00FA7C40" w:rsidP="00FA7C40">
      <w:pPr>
        <w:rPr>
          <w:rFonts w:ascii="Arial" w:hAnsi="Arial" w:cs="Arial"/>
        </w:rPr>
      </w:pPr>
    </w:p>
    <w:p w14:paraId="565E3773" w14:textId="77777777" w:rsidR="00FA7C40" w:rsidRPr="0064284A" w:rsidRDefault="00FA7C40" w:rsidP="00FA7C40">
      <w:pPr>
        <w:rPr>
          <w:rFonts w:ascii="Arial" w:hAnsi="Arial" w:cs="Arial"/>
        </w:rPr>
      </w:pPr>
    </w:p>
    <w:p w14:paraId="77821C9A" w14:textId="77777777" w:rsidR="00FA7C40" w:rsidRPr="0064284A" w:rsidRDefault="00FA7C40" w:rsidP="00FA7C40">
      <w:pPr>
        <w:rPr>
          <w:rFonts w:ascii="Arial" w:hAnsi="Arial" w:cs="Arial"/>
        </w:rPr>
      </w:pPr>
    </w:p>
    <w:p w14:paraId="55903A61" w14:textId="77777777" w:rsidR="00FA7C40" w:rsidRPr="0064284A" w:rsidRDefault="00FA7C40" w:rsidP="00FA7C40">
      <w:pPr>
        <w:rPr>
          <w:rFonts w:ascii="Arial" w:hAnsi="Arial" w:cs="Arial"/>
        </w:rPr>
      </w:pPr>
    </w:p>
    <w:p w14:paraId="191C6D96" w14:textId="77777777" w:rsidR="00FA7C40" w:rsidRPr="0064284A" w:rsidRDefault="00FA7C40" w:rsidP="00FA7C40">
      <w:pPr>
        <w:rPr>
          <w:rFonts w:ascii="Arial" w:hAnsi="Arial" w:cs="Arial"/>
        </w:rPr>
      </w:pPr>
    </w:p>
    <w:p w14:paraId="72A4DEDE" w14:textId="77777777" w:rsidR="00FA7C40" w:rsidRPr="0064284A" w:rsidRDefault="00FA7C40" w:rsidP="00FA7C40">
      <w:pPr>
        <w:rPr>
          <w:rFonts w:ascii="Arial" w:hAnsi="Arial" w:cs="Arial"/>
        </w:rPr>
      </w:pPr>
    </w:p>
    <w:p w14:paraId="3A06E083" w14:textId="77777777" w:rsidR="00FA7C40" w:rsidRPr="0064284A" w:rsidRDefault="00FA7C40" w:rsidP="00FA7C40">
      <w:pPr>
        <w:rPr>
          <w:rFonts w:ascii="Arial" w:hAnsi="Arial" w:cs="Arial"/>
        </w:rPr>
      </w:pPr>
    </w:p>
    <w:p w14:paraId="34DFD0CA" w14:textId="77777777" w:rsidR="00FA7C40" w:rsidRPr="0064284A" w:rsidRDefault="00FA7C40" w:rsidP="00FA7C40">
      <w:pPr>
        <w:rPr>
          <w:rFonts w:ascii="Arial" w:hAnsi="Arial" w:cs="Arial"/>
        </w:rPr>
      </w:pPr>
    </w:p>
    <w:p w14:paraId="0959AF00" w14:textId="77777777" w:rsidR="00FA7C40" w:rsidRPr="0064284A" w:rsidRDefault="00FA7C40" w:rsidP="00FA7C40">
      <w:pPr>
        <w:rPr>
          <w:rFonts w:ascii="Arial" w:hAnsi="Arial" w:cs="Arial"/>
        </w:rPr>
      </w:pPr>
    </w:p>
    <w:p w14:paraId="509B4FC4" w14:textId="77777777" w:rsidR="00FA7C40" w:rsidRPr="0064284A" w:rsidRDefault="00FA7C40" w:rsidP="00FA7C40">
      <w:pPr>
        <w:rPr>
          <w:rFonts w:ascii="Arial" w:hAnsi="Arial" w:cs="Arial"/>
        </w:rPr>
      </w:pPr>
    </w:p>
    <w:p w14:paraId="714FF7F4" w14:textId="77777777" w:rsidR="00FA7C40" w:rsidRPr="0064284A" w:rsidRDefault="00FA7C40" w:rsidP="00FA7C40">
      <w:pPr>
        <w:rPr>
          <w:rFonts w:ascii="Arial" w:hAnsi="Arial" w:cs="Arial"/>
        </w:rPr>
      </w:pPr>
    </w:p>
    <w:p w14:paraId="23E83F1B" w14:textId="77777777" w:rsidR="00FA7C40" w:rsidRPr="0064284A" w:rsidRDefault="00FA7C40" w:rsidP="00FA7C40">
      <w:pPr>
        <w:rPr>
          <w:rFonts w:ascii="Arial" w:hAnsi="Arial" w:cs="Arial"/>
        </w:rPr>
      </w:pPr>
    </w:p>
    <w:p w14:paraId="1FC9C534" w14:textId="77777777" w:rsidR="00FA7C40" w:rsidRDefault="00FA7C40" w:rsidP="00FA7C40"/>
    <w:p w14:paraId="1A9F1FEE" w14:textId="77777777" w:rsidR="00FA7C40" w:rsidRDefault="00FA7C40" w:rsidP="00FA7C40"/>
    <w:p w14:paraId="55F56572" w14:textId="77777777" w:rsidR="001E6346" w:rsidRDefault="001E6346"/>
    <w:sectPr w:rsidR="001E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16C"/>
    <w:multiLevelType w:val="hybridMultilevel"/>
    <w:tmpl w:val="D390DAF0"/>
    <w:lvl w:ilvl="0" w:tplc="9F9A7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2EE"/>
    <w:multiLevelType w:val="hybridMultilevel"/>
    <w:tmpl w:val="DAA698D0"/>
    <w:lvl w:ilvl="0" w:tplc="847617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01486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94579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0"/>
    <w:rsid w:val="001E6346"/>
    <w:rsid w:val="003D2DE0"/>
    <w:rsid w:val="005C3F83"/>
    <w:rsid w:val="00E23473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83D4"/>
  <w15:chartTrackingRefBased/>
  <w15:docId w15:val="{4F26B8BB-291F-40F2-B8F5-7AB73E8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40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C40"/>
    <w:pPr>
      <w:ind w:left="720"/>
      <w:contextualSpacing/>
    </w:pPr>
  </w:style>
  <w:style w:type="character" w:styleId="Istaknuto">
    <w:name w:val="Emphasis"/>
    <w:qFormat/>
    <w:rsid w:val="00FA7C40"/>
    <w:rPr>
      <w:i/>
      <w:iCs/>
    </w:rPr>
  </w:style>
  <w:style w:type="paragraph" w:styleId="Bezproreda">
    <w:name w:val="No Spacing"/>
    <w:link w:val="BezproredaChar"/>
    <w:uiPriority w:val="1"/>
    <w:qFormat/>
    <w:rsid w:val="00FA7C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FA7C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2025-08-26T12:30:00Z</dcterms:created>
  <dcterms:modified xsi:type="dcterms:W3CDTF">2025-08-26T13:43:00Z</dcterms:modified>
</cp:coreProperties>
</file>