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A01F6" w14:textId="77777777" w:rsidR="00B726EA" w:rsidRDefault="00B726EA" w:rsidP="00B726EA">
      <w:pPr>
        <w:ind w:right="540"/>
        <w:jc w:val="center"/>
        <w:rPr>
          <w:rFonts w:ascii="Arial" w:hAnsi="Arial" w:cs="Arial"/>
          <w:b/>
          <w:bCs/>
          <w:color w:val="000000" w:themeColor="text1"/>
        </w:rPr>
      </w:pPr>
      <w:bookmarkStart w:id="0" w:name="_Hlk123153177"/>
      <w:r w:rsidRPr="0064284A">
        <w:rPr>
          <w:rFonts w:ascii="Arial" w:hAnsi="Arial" w:cs="Arial"/>
          <w:b/>
          <w:bCs/>
          <w:color w:val="000000" w:themeColor="text1"/>
        </w:rPr>
        <w:t>Z A P I S N I K</w:t>
      </w:r>
    </w:p>
    <w:p w14:paraId="5D7A012C" w14:textId="77777777" w:rsidR="00B726EA" w:rsidRPr="0064284A" w:rsidRDefault="00B726EA" w:rsidP="00B726EA">
      <w:pPr>
        <w:ind w:right="540"/>
        <w:jc w:val="center"/>
        <w:rPr>
          <w:rFonts w:ascii="Arial" w:hAnsi="Arial" w:cs="Arial"/>
          <w:color w:val="000000" w:themeColor="text1"/>
        </w:rPr>
      </w:pPr>
    </w:p>
    <w:p w14:paraId="2C8BE7C7" w14:textId="45AEBEE7" w:rsidR="00B726EA" w:rsidRPr="0064284A" w:rsidRDefault="00B726EA" w:rsidP="00B726EA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4</w:t>
      </w:r>
      <w:r w:rsidRPr="0064284A">
        <w:rPr>
          <w:rFonts w:ascii="Arial" w:hAnsi="Arial" w:cs="Arial"/>
          <w:b/>
          <w:bCs/>
          <w:color w:val="000000" w:themeColor="text1"/>
        </w:rPr>
        <w:t>.</w:t>
      </w:r>
      <w:r w:rsidRPr="0064284A"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elektronska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 w:rsidRPr="0064284A">
        <w:rPr>
          <w:rFonts w:ascii="Arial" w:hAnsi="Arial" w:cs="Arial"/>
          <w:color w:val="000000" w:themeColor="text1"/>
        </w:rPr>
        <w:t>sjednica</w:t>
      </w:r>
      <w:proofErr w:type="spellEnd"/>
      <w:r w:rsidRPr="0064284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4284A">
        <w:rPr>
          <w:rFonts w:ascii="Arial" w:hAnsi="Arial" w:cs="Arial"/>
          <w:color w:val="000000" w:themeColor="text1"/>
        </w:rPr>
        <w:t>Školskog</w:t>
      </w:r>
      <w:proofErr w:type="spellEnd"/>
      <w:r w:rsidRPr="0064284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4284A">
        <w:rPr>
          <w:rFonts w:ascii="Arial" w:hAnsi="Arial" w:cs="Arial"/>
          <w:color w:val="000000" w:themeColor="text1"/>
        </w:rPr>
        <w:t>odbora</w:t>
      </w:r>
      <w:proofErr w:type="spellEnd"/>
      <w:r w:rsidRPr="0064284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4284A">
        <w:rPr>
          <w:rFonts w:ascii="Arial" w:hAnsi="Arial" w:cs="Arial"/>
          <w:color w:val="000000" w:themeColor="text1"/>
        </w:rPr>
        <w:t>Osnovne</w:t>
      </w:r>
      <w:proofErr w:type="spellEnd"/>
      <w:r w:rsidRPr="0064284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4284A">
        <w:rPr>
          <w:rFonts w:ascii="Arial" w:hAnsi="Arial" w:cs="Arial"/>
          <w:color w:val="000000" w:themeColor="text1"/>
        </w:rPr>
        <w:t>škole</w:t>
      </w:r>
      <w:proofErr w:type="spellEnd"/>
      <w:r w:rsidRPr="0064284A">
        <w:rPr>
          <w:rFonts w:ascii="Arial" w:hAnsi="Arial" w:cs="Arial"/>
          <w:color w:val="000000" w:themeColor="text1"/>
        </w:rPr>
        <w:t xml:space="preserve"> „Vladimir </w:t>
      </w:r>
      <w:proofErr w:type="spellStart"/>
      <w:proofErr w:type="gramStart"/>
      <w:r w:rsidRPr="0064284A">
        <w:rPr>
          <w:rFonts w:ascii="Arial" w:hAnsi="Arial" w:cs="Arial"/>
          <w:color w:val="000000" w:themeColor="text1"/>
        </w:rPr>
        <w:t>Nazor</w:t>
      </w:r>
      <w:proofErr w:type="spellEnd"/>
      <w:r w:rsidRPr="0064284A">
        <w:rPr>
          <w:rFonts w:ascii="Arial" w:hAnsi="Arial" w:cs="Arial"/>
          <w:color w:val="000000" w:themeColor="text1"/>
        </w:rPr>
        <w:t xml:space="preserve">“ </w:t>
      </w:r>
      <w:proofErr w:type="spellStart"/>
      <w:r w:rsidRPr="0064284A">
        <w:rPr>
          <w:rFonts w:ascii="Arial" w:hAnsi="Arial" w:cs="Arial"/>
          <w:color w:val="000000" w:themeColor="text1"/>
        </w:rPr>
        <w:t>Križevci</w:t>
      </w:r>
      <w:proofErr w:type="spellEnd"/>
      <w:proofErr w:type="gramEnd"/>
      <w:r w:rsidRPr="0064284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4284A">
        <w:rPr>
          <w:rFonts w:ascii="Arial" w:hAnsi="Arial" w:cs="Arial"/>
          <w:color w:val="000000" w:themeColor="text1"/>
        </w:rPr>
        <w:t>održan</w:t>
      </w:r>
      <w:r>
        <w:rPr>
          <w:rFonts w:ascii="Arial" w:hAnsi="Arial" w:cs="Arial"/>
          <w:color w:val="000000" w:themeColor="text1"/>
        </w:rPr>
        <w:t>a</w:t>
      </w:r>
      <w:proofErr w:type="spellEnd"/>
      <w:r w:rsidRPr="0064284A">
        <w:rPr>
          <w:rFonts w:ascii="Arial" w:hAnsi="Arial" w:cs="Arial"/>
          <w:color w:val="000000" w:themeColor="text1"/>
        </w:rPr>
        <w:t xml:space="preserve"> u </w:t>
      </w:r>
      <w:proofErr w:type="spellStart"/>
      <w:r>
        <w:rPr>
          <w:rFonts w:ascii="Arial" w:hAnsi="Arial" w:cs="Arial"/>
          <w:color w:val="000000" w:themeColor="text1"/>
        </w:rPr>
        <w:t>utorak</w:t>
      </w:r>
      <w:proofErr w:type="spellEnd"/>
      <w:r>
        <w:rPr>
          <w:rFonts w:ascii="Arial" w:hAnsi="Arial" w:cs="Arial"/>
          <w:color w:val="000000" w:themeColor="text1"/>
        </w:rPr>
        <w:t>,</w:t>
      </w:r>
      <w:r w:rsidRPr="0064284A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1</w:t>
      </w:r>
      <w:r w:rsidRPr="0064284A">
        <w:rPr>
          <w:rFonts w:ascii="Arial" w:hAnsi="Arial" w:cs="Arial"/>
          <w:color w:val="000000" w:themeColor="text1"/>
        </w:rPr>
        <w:t xml:space="preserve">. </w:t>
      </w:r>
      <w:proofErr w:type="spellStart"/>
      <w:r>
        <w:rPr>
          <w:rFonts w:ascii="Arial" w:hAnsi="Arial" w:cs="Arial"/>
          <w:color w:val="000000" w:themeColor="text1"/>
        </w:rPr>
        <w:t>srpnja</w:t>
      </w:r>
      <w:proofErr w:type="spellEnd"/>
      <w:r w:rsidRPr="0064284A">
        <w:rPr>
          <w:rFonts w:ascii="Arial" w:hAnsi="Arial" w:cs="Arial"/>
          <w:color w:val="000000" w:themeColor="text1"/>
        </w:rPr>
        <w:t xml:space="preserve"> 2025. </w:t>
      </w:r>
      <w:proofErr w:type="spellStart"/>
      <w:r w:rsidRPr="0064284A">
        <w:rPr>
          <w:rFonts w:ascii="Arial" w:hAnsi="Arial" w:cs="Arial"/>
          <w:color w:val="000000" w:themeColor="text1"/>
        </w:rPr>
        <w:t>godine</w:t>
      </w:r>
      <w:proofErr w:type="spellEnd"/>
      <w:r w:rsidRPr="0064284A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u </w:t>
      </w:r>
      <w:proofErr w:type="spellStart"/>
      <w:r>
        <w:rPr>
          <w:rFonts w:ascii="Arial" w:hAnsi="Arial" w:cs="Arial"/>
          <w:color w:val="000000" w:themeColor="text1"/>
        </w:rPr>
        <w:t>trajanju</w:t>
      </w:r>
      <w:proofErr w:type="spellEnd"/>
      <w:r>
        <w:rPr>
          <w:rFonts w:ascii="Arial" w:hAnsi="Arial" w:cs="Arial"/>
          <w:color w:val="000000" w:themeColor="text1"/>
        </w:rPr>
        <w:t xml:space="preserve"> od 9,00 </w:t>
      </w:r>
      <w:proofErr w:type="spellStart"/>
      <w:r>
        <w:rPr>
          <w:rFonts w:ascii="Arial" w:hAnsi="Arial" w:cs="Arial"/>
          <w:color w:val="000000" w:themeColor="text1"/>
        </w:rPr>
        <w:t>do</w:t>
      </w:r>
      <w:proofErr w:type="spellEnd"/>
      <w:r>
        <w:rPr>
          <w:rFonts w:ascii="Arial" w:hAnsi="Arial" w:cs="Arial"/>
          <w:color w:val="000000" w:themeColor="text1"/>
        </w:rPr>
        <w:t xml:space="preserve"> 15,00.</w:t>
      </w:r>
      <w:r w:rsidRPr="0064284A">
        <w:rPr>
          <w:rFonts w:ascii="Arial" w:hAnsi="Arial" w:cs="Arial"/>
          <w:color w:val="000000" w:themeColor="text1"/>
        </w:rPr>
        <w:t xml:space="preserve">    </w:t>
      </w:r>
    </w:p>
    <w:p w14:paraId="0E477B43" w14:textId="77777777" w:rsidR="00B726EA" w:rsidRPr="0064284A" w:rsidRDefault="00B726EA" w:rsidP="00B726EA">
      <w:pPr>
        <w:jc w:val="both"/>
        <w:rPr>
          <w:rFonts w:ascii="Arial" w:hAnsi="Arial" w:cs="Arial"/>
          <w:color w:val="000000" w:themeColor="text1"/>
          <w:lang w:val="x-none"/>
        </w:rPr>
      </w:pPr>
      <w:proofErr w:type="spellStart"/>
      <w:r w:rsidRPr="0064284A">
        <w:rPr>
          <w:rFonts w:ascii="Arial" w:hAnsi="Arial" w:cs="Arial"/>
          <w:color w:val="000000" w:themeColor="text1"/>
        </w:rPr>
        <w:t>Sjednica</w:t>
      </w:r>
      <w:proofErr w:type="spellEnd"/>
      <w:r w:rsidRPr="0064284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4284A">
        <w:rPr>
          <w:rFonts w:ascii="Arial" w:hAnsi="Arial" w:cs="Arial"/>
          <w:color w:val="000000" w:themeColor="text1"/>
        </w:rPr>
        <w:t>započela</w:t>
      </w:r>
      <w:proofErr w:type="spellEnd"/>
      <w:r w:rsidRPr="0064284A">
        <w:rPr>
          <w:rFonts w:ascii="Arial" w:hAnsi="Arial" w:cs="Arial"/>
          <w:color w:val="000000" w:themeColor="text1"/>
        </w:rPr>
        <w:t xml:space="preserve"> u </w:t>
      </w:r>
      <w:r>
        <w:rPr>
          <w:rFonts w:ascii="Arial" w:hAnsi="Arial" w:cs="Arial"/>
          <w:color w:val="000000" w:themeColor="text1"/>
        </w:rPr>
        <w:t>15,05 sati.</w:t>
      </w:r>
    </w:p>
    <w:p w14:paraId="67507521" w14:textId="77777777" w:rsidR="00B726EA" w:rsidRPr="0064284A" w:rsidRDefault="00B726EA" w:rsidP="00B726EA">
      <w:pPr>
        <w:ind w:right="-2"/>
        <w:jc w:val="both"/>
        <w:rPr>
          <w:rFonts w:ascii="Arial" w:hAnsi="Arial" w:cs="Arial"/>
          <w:color w:val="000000"/>
        </w:rPr>
      </w:pPr>
      <w:r w:rsidRPr="0064284A">
        <w:rPr>
          <w:rFonts w:ascii="Arial" w:hAnsi="Arial" w:cs="Arial"/>
          <w:color w:val="000000"/>
          <w:u w:val="single"/>
          <w:lang w:val="x-none"/>
        </w:rPr>
        <w:t>P</w:t>
      </w:r>
      <w:r w:rsidRPr="0064284A">
        <w:rPr>
          <w:rFonts w:ascii="Arial" w:hAnsi="Arial" w:cs="Arial"/>
          <w:color w:val="000000"/>
          <w:u w:val="single"/>
        </w:rPr>
        <w:t>ozvani</w:t>
      </w:r>
      <w:r w:rsidRPr="0064284A">
        <w:rPr>
          <w:rFonts w:ascii="Arial" w:hAnsi="Arial" w:cs="Arial"/>
          <w:color w:val="000000"/>
          <w:u w:val="single"/>
          <w:lang w:val="x-none"/>
        </w:rPr>
        <w:t>:</w:t>
      </w:r>
      <w:r w:rsidRPr="0064284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Sanja </w:t>
      </w:r>
      <w:proofErr w:type="spellStart"/>
      <w:r>
        <w:rPr>
          <w:rFonts w:ascii="Arial" w:hAnsi="Arial" w:cs="Arial"/>
          <w:color w:val="000000"/>
        </w:rPr>
        <w:t>Štubelj</w:t>
      </w:r>
      <w:proofErr w:type="spellEnd"/>
      <w:r w:rsidRPr="0064284A">
        <w:rPr>
          <w:rFonts w:ascii="Arial" w:hAnsi="Arial" w:cs="Arial"/>
          <w:color w:val="000000"/>
        </w:rPr>
        <w:t xml:space="preserve">  - </w:t>
      </w:r>
      <w:proofErr w:type="spellStart"/>
      <w:r w:rsidRPr="0064284A">
        <w:rPr>
          <w:rFonts w:ascii="Arial" w:hAnsi="Arial" w:cs="Arial"/>
          <w:color w:val="000000"/>
        </w:rPr>
        <w:t>predsjedni</w:t>
      </w:r>
      <w:r>
        <w:rPr>
          <w:rFonts w:ascii="Arial" w:hAnsi="Arial" w:cs="Arial"/>
          <w:color w:val="000000"/>
        </w:rPr>
        <w:t>ca</w:t>
      </w:r>
      <w:proofErr w:type="spellEnd"/>
      <w:r w:rsidRPr="0064284A">
        <w:rPr>
          <w:rFonts w:ascii="Arial" w:hAnsi="Arial" w:cs="Arial"/>
          <w:color w:val="000000"/>
        </w:rPr>
        <w:t xml:space="preserve"> </w:t>
      </w:r>
      <w:proofErr w:type="spellStart"/>
      <w:r w:rsidRPr="0064284A">
        <w:rPr>
          <w:rFonts w:ascii="Arial" w:hAnsi="Arial" w:cs="Arial"/>
          <w:color w:val="000000"/>
        </w:rPr>
        <w:t>Školskog</w:t>
      </w:r>
      <w:proofErr w:type="spellEnd"/>
      <w:r w:rsidRPr="0064284A">
        <w:rPr>
          <w:rFonts w:ascii="Arial" w:hAnsi="Arial" w:cs="Arial"/>
          <w:color w:val="000000"/>
        </w:rPr>
        <w:t xml:space="preserve"> </w:t>
      </w:r>
      <w:proofErr w:type="spellStart"/>
      <w:r w:rsidRPr="0064284A">
        <w:rPr>
          <w:rFonts w:ascii="Arial" w:hAnsi="Arial" w:cs="Arial"/>
          <w:color w:val="000000"/>
        </w:rPr>
        <w:t>odbora</w:t>
      </w:r>
      <w:proofErr w:type="spellEnd"/>
      <w:r w:rsidRPr="0064284A"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Hrvoje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Gužvinec</w:t>
      </w:r>
      <w:proofErr w:type="spellEnd"/>
      <w:r w:rsidRPr="0064284A">
        <w:rPr>
          <w:rFonts w:ascii="Arial" w:hAnsi="Arial" w:cs="Arial"/>
          <w:color w:val="000000"/>
        </w:rPr>
        <w:t xml:space="preserve"> – </w:t>
      </w:r>
      <w:proofErr w:type="spellStart"/>
      <w:r w:rsidRPr="0064284A">
        <w:rPr>
          <w:rFonts w:ascii="Arial" w:hAnsi="Arial" w:cs="Arial"/>
          <w:color w:val="000000"/>
        </w:rPr>
        <w:t>zamjeni</w:t>
      </w:r>
      <w:r>
        <w:rPr>
          <w:rFonts w:ascii="Arial" w:hAnsi="Arial" w:cs="Arial"/>
          <w:color w:val="000000"/>
        </w:rPr>
        <w:t>k</w:t>
      </w:r>
      <w:proofErr w:type="spellEnd"/>
      <w:r w:rsidRPr="0064284A">
        <w:rPr>
          <w:rFonts w:ascii="Arial" w:hAnsi="Arial" w:cs="Arial"/>
          <w:color w:val="000000"/>
        </w:rPr>
        <w:t xml:space="preserve"> </w:t>
      </w:r>
      <w:proofErr w:type="spellStart"/>
      <w:r w:rsidRPr="0064284A">
        <w:rPr>
          <w:rFonts w:ascii="Arial" w:hAnsi="Arial" w:cs="Arial"/>
          <w:color w:val="000000"/>
        </w:rPr>
        <w:t>predsjedni</w:t>
      </w:r>
      <w:r>
        <w:rPr>
          <w:rFonts w:ascii="Arial" w:hAnsi="Arial" w:cs="Arial"/>
          <w:color w:val="000000"/>
        </w:rPr>
        <w:t>ce</w:t>
      </w:r>
      <w:proofErr w:type="spellEnd"/>
      <w:r w:rsidRPr="0064284A">
        <w:rPr>
          <w:rFonts w:ascii="Arial" w:hAnsi="Arial" w:cs="Arial"/>
          <w:color w:val="000000"/>
        </w:rPr>
        <w:t xml:space="preserve"> </w:t>
      </w:r>
      <w:proofErr w:type="spellStart"/>
      <w:r w:rsidRPr="0064284A">
        <w:rPr>
          <w:rFonts w:ascii="Arial" w:hAnsi="Arial" w:cs="Arial"/>
          <w:color w:val="000000"/>
        </w:rPr>
        <w:t>Školskog</w:t>
      </w:r>
      <w:proofErr w:type="spellEnd"/>
      <w:r w:rsidRPr="0064284A">
        <w:rPr>
          <w:rFonts w:ascii="Arial" w:hAnsi="Arial" w:cs="Arial"/>
          <w:color w:val="000000"/>
        </w:rPr>
        <w:t xml:space="preserve"> </w:t>
      </w:r>
      <w:proofErr w:type="spellStart"/>
      <w:r w:rsidRPr="0064284A">
        <w:rPr>
          <w:rFonts w:ascii="Arial" w:hAnsi="Arial" w:cs="Arial"/>
          <w:color w:val="000000"/>
        </w:rPr>
        <w:t>odbora</w:t>
      </w:r>
      <w:proofErr w:type="spellEnd"/>
      <w:r w:rsidRPr="0064284A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Tomica Turković</w:t>
      </w:r>
      <w:r w:rsidRPr="0064284A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Monika, </w:t>
      </w:r>
      <w:proofErr w:type="spellStart"/>
      <w:r>
        <w:rPr>
          <w:rFonts w:ascii="Arial" w:hAnsi="Arial" w:cs="Arial"/>
          <w:color w:val="000000"/>
        </w:rPr>
        <w:t>Penđak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Ružić</w:t>
      </w:r>
      <w:proofErr w:type="spellEnd"/>
      <w:r>
        <w:rPr>
          <w:rFonts w:ascii="Arial" w:hAnsi="Arial" w:cs="Arial"/>
          <w:color w:val="000000"/>
        </w:rPr>
        <w:t xml:space="preserve">, </w:t>
      </w:r>
      <w:r w:rsidRPr="0064284A">
        <w:rPr>
          <w:rFonts w:ascii="Arial" w:hAnsi="Arial" w:cs="Arial"/>
          <w:color w:val="000000"/>
        </w:rPr>
        <w:t xml:space="preserve">Sandra Kantar, </w:t>
      </w:r>
      <w:proofErr w:type="spellStart"/>
      <w:r w:rsidRPr="0064284A">
        <w:rPr>
          <w:rFonts w:ascii="Arial" w:hAnsi="Arial" w:cs="Arial"/>
          <w:color w:val="000000"/>
        </w:rPr>
        <w:t>Gordana</w:t>
      </w:r>
      <w:proofErr w:type="spellEnd"/>
      <w:r w:rsidRPr="0064284A">
        <w:rPr>
          <w:rFonts w:ascii="Arial" w:hAnsi="Arial" w:cs="Arial"/>
          <w:color w:val="000000"/>
        </w:rPr>
        <w:t xml:space="preserve"> </w:t>
      </w:r>
      <w:proofErr w:type="spellStart"/>
      <w:r w:rsidRPr="0064284A">
        <w:rPr>
          <w:rFonts w:ascii="Arial" w:hAnsi="Arial" w:cs="Arial"/>
          <w:color w:val="000000"/>
        </w:rPr>
        <w:t>Prosenečk</w:t>
      </w:r>
      <w:r>
        <w:rPr>
          <w:rFonts w:ascii="Arial" w:hAnsi="Arial" w:cs="Arial"/>
          <w:color w:val="000000"/>
        </w:rPr>
        <w:t>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</w:t>
      </w:r>
      <w:proofErr w:type="spellEnd"/>
      <w:r w:rsidRPr="0064284A">
        <w:rPr>
          <w:rFonts w:ascii="Arial" w:hAnsi="Arial" w:cs="Arial"/>
          <w:color w:val="000000"/>
        </w:rPr>
        <w:t xml:space="preserve"> Marko </w:t>
      </w:r>
      <w:proofErr w:type="spellStart"/>
      <w:r w:rsidRPr="0064284A">
        <w:rPr>
          <w:rFonts w:ascii="Arial" w:hAnsi="Arial" w:cs="Arial"/>
          <w:color w:val="000000"/>
        </w:rPr>
        <w:t>Đurakić</w:t>
      </w:r>
      <w:proofErr w:type="spellEnd"/>
      <w:r>
        <w:rPr>
          <w:rFonts w:ascii="Arial" w:hAnsi="Arial" w:cs="Arial"/>
          <w:color w:val="000000"/>
        </w:rPr>
        <w:t>.</w:t>
      </w:r>
    </w:p>
    <w:p w14:paraId="6DA2E26E" w14:textId="0990D09C" w:rsidR="00B726EA" w:rsidRPr="0064284A" w:rsidRDefault="00B726EA" w:rsidP="00B726EA">
      <w:pPr>
        <w:ind w:right="-2"/>
        <w:jc w:val="both"/>
        <w:rPr>
          <w:rFonts w:ascii="Arial" w:hAnsi="Arial" w:cs="Arial"/>
          <w:color w:val="000000"/>
        </w:rPr>
      </w:pPr>
      <w:proofErr w:type="spellStart"/>
      <w:r w:rsidRPr="0064284A">
        <w:rPr>
          <w:rFonts w:ascii="Arial" w:hAnsi="Arial" w:cs="Arial"/>
          <w:color w:val="000000"/>
        </w:rPr>
        <w:t>Sudjelovali</w:t>
      </w:r>
      <w:proofErr w:type="spellEnd"/>
      <w:r w:rsidRPr="0064284A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 xml:space="preserve">Sanja </w:t>
      </w:r>
      <w:proofErr w:type="spellStart"/>
      <w:r>
        <w:rPr>
          <w:rFonts w:ascii="Arial" w:hAnsi="Arial" w:cs="Arial"/>
          <w:color w:val="000000"/>
        </w:rPr>
        <w:t>Štubelj</w:t>
      </w:r>
      <w:proofErr w:type="spellEnd"/>
      <w:r w:rsidRPr="0064284A">
        <w:rPr>
          <w:rFonts w:ascii="Arial" w:hAnsi="Arial" w:cs="Arial"/>
          <w:color w:val="000000"/>
        </w:rPr>
        <w:t xml:space="preserve"> - </w:t>
      </w:r>
      <w:proofErr w:type="spellStart"/>
      <w:r w:rsidRPr="0064284A">
        <w:rPr>
          <w:rFonts w:ascii="Arial" w:hAnsi="Arial" w:cs="Arial"/>
          <w:color w:val="000000"/>
        </w:rPr>
        <w:t>predsjedni</w:t>
      </w:r>
      <w:r>
        <w:rPr>
          <w:rFonts w:ascii="Arial" w:hAnsi="Arial" w:cs="Arial"/>
          <w:color w:val="000000"/>
        </w:rPr>
        <w:t>ca</w:t>
      </w:r>
      <w:proofErr w:type="spellEnd"/>
      <w:r w:rsidRPr="0064284A">
        <w:rPr>
          <w:rFonts w:ascii="Arial" w:hAnsi="Arial" w:cs="Arial"/>
          <w:color w:val="000000"/>
        </w:rPr>
        <w:t xml:space="preserve"> </w:t>
      </w:r>
      <w:proofErr w:type="spellStart"/>
      <w:r w:rsidRPr="0064284A">
        <w:rPr>
          <w:rFonts w:ascii="Arial" w:hAnsi="Arial" w:cs="Arial"/>
          <w:color w:val="000000"/>
        </w:rPr>
        <w:t>Školskog</w:t>
      </w:r>
      <w:proofErr w:type="spellEnd"/>
      <w:r w:rsidRPr="0064284A">
        <w:rPr>
          <w:rFonts w:ascii="Arial" w:hAnsi="Arial" w:cs="Arial"/>
          <w:color w:val="000000"/>
        </w:rPr>
        <w:t xml:space="preserve"> </w:t>
      </w:r>
      <w:proofErr w:type="spellStart"/>
      <w:r w:rsidRPr="0064284A">
        <w:rPr>
          <w:rFonts w:ascii="Arial" w:hAnsi="Arial" w:cs="Arial"/>
          <w:color w:val="000000"/>
        </w:rPr>
        <w:t>odbora</w:t>
      </w:r>
      <w:proofErr w:type="spellEnd"/>
      <w:r w:rsidRPr="0064284A"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Hrvoje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Gužvinec</w:t>
      </w:r>
      <w:proofErr w:type="spellEnd"/>
      <w:r w:rsidRPr="0064284A">
        <w:rPr>
          <w:rFonts w:ascii="Arial" w:hAnsi="Arial" w:cs="Arial"/>
          <w:color w:val="000000"/>
        </w:rPr>
        <w:t xml:space="preserve"> – </w:t>
      </w:r>
      <w:proofErr w:type="spellStart"/>
      <w:r w:rsidRPr="0064284A">
        <w:rPr>
          <w:rFonts w:ascii="Arial" w:hAnsi="Arial" w:cs="Arial"/>
          <w:color w:val="000000"/>
        </w:rPr>
        <w:t>zamjeni</w:t>
      </w:r>
      <w:r>
        <w:rPr>
          <w:rFonts w:ascii="Arial" w:hAnsi="Arial" w:cs="Arial"/>
          <w:color w:val="000000"/>
        </w:rPr>
        <w:t>k</w:t>
      </w:r>
      <w:proofErr w:type="spellEnd"/>
      <w:r w:rsidRPr="0064284A">
        <w:rPr>
          <w:rFonts w:ascii="Arial" w:hAnsi="Arial" w:cs="Arial"/>
          <w:color w:val="000000"/>
        </w:rPr>
        <w:t xml:space="preserve"> </w:t>
      </w:r>
      <w:proofErr w:type="spellStart"/>
      <w:r w:rsidRPr="0064284A">
        <w:rPr>
          <w:rFonts w:ascii="Arial" w:hAnsi="Arial" w:cs="Arial"/>
          <w:color w:val="000000"/>
        </w:rPr>
        <w:t>predsjedni</w:t>
      </w:r>
      <w:r>
        <w:rPr>
          <w:rFonts w:ascii="Arial" w:hAnsi="Arial" w:cs="Arial"/>
          <w:color w:val="000000"/>
        </w:rPr>
        <w:t>ce</w:t>
      </w:r>
      <w:proofErr w:type="spellEnd"/>
      <w:r w:rsidRPr="0064284A">
        <w:rPr>
          <w:rFonts w:ascii="Arial" w:hAnsi="Arial" w:cs="Arial"/>
          <w:color w:val="000000"/>
        </w:rPr>
        <w:t xml:space="preserve"> </w:t>
      </w:r>
      <w:proofErr w:type="spellStart"/>
      <w:r w:rsidRPr="0064284A">
        <w:rPr>
          <w:rFonts w:ascii="Arial" w:hAnsi="Arial" w:cs="Arial"/>
          <w:color w:val="000000"/>
        </w:rPr>
        <w:t>Školskog</w:t>
      </w:r>
      <w:proofErr w:type="spellEnd"/>
      <w:r w:rsidRPr="0064284A">
        <w:rPr>
          <w:rFonts w:ascii="Arial" w:hAnsi="Arial" w:cs="Arial"/>
          <w:color w:val="000000"/>
        </w:rPr>
        <w:t xml:space="preserve"> </w:t>
      </w:r>
      <w:proofErr w:type="spellStart"/>
      <w:r w:rsidRPr="0064284A">
        <w:rPr>
          <w:rFonts w:ascii="Arial" w:hAnsi="Arial" w:cs="Arial"/>
          <w:color w:val="000000"/>
        </w:rPr>
        <w:t>odbora</w:t>
      </w:r>
      <w:proofErr w:type="spellEnd"/>
      <w:r w:rsidRPr="0064284A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Tomica Turković</w:t>
      </w:r>
      <w:r w:rsidRPr="0064284A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Monika </w:t>
      </w:r>
      <w:proofErr w:type="spellStart"/>
      <w:r>
        <w:rPr>
          <w:rFonts w:ascii="Arial" w:hAnsi="Arial" w:cs="Arial"/>
          <w:color w:val="000000"/>
        </w:rPr>
        <w:t>Penđak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Ružić</w:t>
      </w:r>
      <w:proofErr w:type="spellEnd"/>
      <w:r>
        <w:rPr>
          <w:rFonts w:ascii="Arial" w:hAnsi="Arial" w:cs="Arial"/>
          <w:color w:val="000000"/>
        </w:rPr>
        <w:t xml:space="preserve">, </w:t>
      </w:r>
      <w:r w:rsidRPr="0064284A">
        <w:rPr>
          <w:rFonts w:ascii="Arial" w:hAnsi="Arial" w:cs="Arial"/>
          <w:color w:val="000000"/>
        </w:rPr>
        <w:t xml:space="preserve">Sandra Kantar, </w:t>
      </w:r>
      <w:proofErr w:type="spellStart"/>
      <w:r w:rsidRPr="0064284A">
        <w:rPr>
          <w:rFonts w:ascii="Arial" w:hAnsi="Arial" w:cs="Arial"/>
          <w:color w:val="000000"/>
        </w:rPr>
        <w:t>Gordana</w:t>
      </w:r>
      <w:proofErr w:type="spellEnd"/>
      <w:r w:rsidRPr="0064284A">
        <w:rPr>
          <w:rFonts w:ascii="Arial" w:hAnsi="Arial" w:cs="Arial"/>
          <w:color w:val="000000"/>
        </w:rPr>
        <w:t xml:space="preserve"> </w:t>
      </w:r>
      <w:proofErr w:type="spellStart"/>
      <w:r w:rsidRPr="0064284A">
        <w:rPr>
          <w:rFonts w:ascii="Arial" w:hAnsi="Arial" w:cs="Arial"/>
          <w:color w:val="000000"/>
        </w:rPr>
        <w:t>Prosenečk</w:t>
      </w:r>
      <w:r>
        <w:rPr>
          <w:rFonts w:ascii="Arial" w:hAnsi="Arial" w:cs="Arial"/>
          <w:color w:val="000000"/>
        </w:rPr>
        <w:t>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</w:t>
      </w:r>
      <w:proofErr w:type="spellEnd"/>
      <w:r w:rsidRPr="0064284A">
        <w:rPr>
          <w:rFonts w:ascii="Arial" w:hAnsi="Arial" w:cs="Arial"/>
          <w:color w:val="000000"/>
        </w:rPr>
        <w:t xml:space="preserve"> Marko </w:t>
      </w:r>
      <w:proofErr w:type="spellStart"/>
      <w:r w:rsidRPr="0064284A">
        <w:rPr>
          <w:rFonts w:ascii="Arial" w:hAnsi="Arial" w:cs="Arial"/>
          <w:color w:val="000000"/>
        </w:rPr>
        <w:t>Đurakić</w:t>
      </w:r>
      <w:proofErr w:type="spellEnd"/>
      <w:r>
        <w:rPr>
          <w:rFonts w:ascii="Arial" w:hAnsi="Arial" w:cs="Arial"/>
          <w:color w:val="000000"/>
        </w:rPr>
        <w:t>.</w:t>
      </w:r>
    </w:p>
    <w:p w14:paraId="69C733D5" w14:textId="1CD57ECA" w:rsidR="00B726EA" w:rsidRPr="0064284A" w:rsidRDefault="00B726EA" w:rsidP="00B726EA">
      <w:pPr>
        <w:ind w:right="-2"/>
        <w:jc w:val="both"/>
        <w:rPr>
          <w:rFonts w:ascii="Arial" w:hAnsi="Arial" w:cs="Arial"/>
          <w:color w:val="000000"/>
        </w:rPr>
      </w:pPr>
      <w:r w:rsidRPr="0064284A">
        <w:rPr>
          <w:rFonts w:ascii="Arial" w:hAnsi="Arial" w:cs="Arial"/>
          <w:color w:val="000000"/>
          <w:u w:val="single"/>
        </w:rPr>
        <w:t>Z</w:t>
      </w:r>
      <w:proofErr w:type="spellStart"/>
      <w:r w:rsidRPr="0064284A">
        <w:rPr>
          <w:rFonts w:ascii="Arial" w:hAnsi="Arial" w:cs="Arial"/>
          <w:color w:val="000000"/>
          <w:u w:val="single"/>
          <w:lang w:val="x-none"/>
        </w:rPr>
        <w:t>apisničar</w:t>
      </w:r>
      <w:r w:rsidRPr="0064284A">
        <w:rPr>
          <w:rFonts w:ascii="Arial" w:hAnsi="Arial" w:cs="Arial"/>
          <w:color w:val="000000"/>
          <w:u w:val="single"/>
        </w:rPr>
        <w:t>ka</w:t>
      </w:r>
      <w:proofErr w:type="spellEnd"/>
      <w:r w:rsidRPr="0064284A">
        <w:rPr>
          <w:rFonts w:ascii="Arial" w:hAnsi="Arial" w:cs="Arial"/>
          <w:color w:val="000000"/>
          <w:u w:val="single"/>
          <w:lang w:val="x-none"/>
        </w:rPr>
        <w:t>:</w:t>
      </w:r>
      <w:r w:rsidRPr="0064284A">
        <w:rPr>
          <w:rFonts w:ascii="Arial" w:hAnsi="Arial" w:cs="Arial"/>
          <w:color w:val="000000"/>
          <w:lang w:val="x-none"/>
        </w:rPr>
        <w:t xml:space="preserve"> </w:t>
      </w:r>
      <w:r w:rsidRPr="0064284A">
        <w:rPr>
          <w:rFonts w:ascii="Arial" w:hAnsi="Arial" w:cs="Arial"/>
          <w:color w:val="000000"/>
        </w:rPr>
        <w:t>Jasna Zdilar Pešutić</w:t>
      </w:r>
    </w:p>
    <w:p w14:paraId="1A1C6A31" w14:textId="77777777" w:rsidR="00B726EA" w:rsidRDefault="00B726EA" w:rsidP="00B726EA">
      <w:pPr>
        <w:jc w:val="both"/>
        <w:rPr>
          <w:rFonts w:ascii="Arial" w:hAnsi="Arial" w:cs="Arial"/>
          <w:color w:val="000000"/>
          <w:lang w:val="x-none"/>
        </w:rPr>
      </w:pPr>
      <w:proofErr w:type="spellStart"/>
      <w:r w:rsidRPr="0064284A">
        <w:rPr>
          <w:rFonts w:ascii="Arial" w:hAnsi="Arial" w:cs="Arial"/>
          <w:color w:val="000000"/>
          <w:u w:val="single"/>
        </w:rPr>
        <w:t>Ravnatelj</w:t>
      </w:r>
      <w:proofErr w:type="spellEnd"/>
      <w:r w:rsidRPr="0064284A">
        <w:rPr>
          <w:rFonts w:ascii="Arial" w:hAnsi="Arial" w:cs="Arial"/>
          <w:color w:val="000000"/>
          <w:u w:val="single"/>
        </w:rPr>
        <w:t>:</w:t>
      </w:r>
      <w:r>
        <w:rPr>
          <w:rFonts w:ascii="Arial" w:hAnsi="Arial" w:cs="Arial"/>
          <w:color w:val="000000"/>
          <w:u w:val="single"/>
        </w:rPr>
        <w:t xml:space="preserve"> </w:t>
      </w:r>
      <w:r w:rsidRPr="0064284A">
        <w:rPr>
          <w:rFonts w:ascii="Arial" w:hAnsi="Arial" w:cs="Arial"/>
          <w:color w:val="000000"/>
        </w:rPr>
        <w:t>Igor</w:t>
      </w:r>
      <w:r>
        <w:rPr>
          <w:rFonts w:ascii="Arial" w:hAnsi="Arial" w:cs="Arial"/>
          <w:color w:val="000000"/>
        </w:rPr>
        <w:t xml:space="preserve"> </w:t>
      </w:r>
      <w:r w:rsidRPr="0064284A">
        <w:rPr>
          <w:rFonts w:ascii="Arial" w:hAnsi="Arial" w:cs="Arial"/>
          <w:color w:val="000000"/>
        </w:rPr>
        <w:t>Brkić</w:t>
      </w:r>
      <w:r w:rsidRPr="0064284A">
        <w:rPr>
          <w:rFonts w:ascii="Arial" w:hAnsi="Arial" w:cs="Arial"/>
          <w:color w:val="000000"/>
          <w:lang w:val="x-none"/>
        </w:rPr>
        <w:t>  </w:t>
      </w:r>
    </w:p>
    <w:p w14:paraId="4F229E49" w14:textId="77777777" w:rsidR="00B726EA" w:rsidRPr="0064284A" w:rsidRDefault="00B726EA" w:rsidP="00B726EA">
      <w:pPr>
        <w:jc w:val="both"/>
        <w:rPr>
          <w:rFonts w:ascii="Arial" w:hAnsi="Arial" w:cs="Arial"/>
          <w:b/>
          <w:bCs/>
          <w:color w:val="000000"/>
          <w:szCs w:val="24"/>
          <w:bdr w:val="none" w:sz="0" w:space="0" w:color="auto" w:frame="1"/>
        </w:rPr>
      </w:pPr>
      <w:r w:rsidRPr="0064284A">
        <w:rPr>
          <w:rFonts w:ascii="Arial" w:hAnsi="Arial" w:cs="Arial"/>
          <w:color w:val="000000"/>
          <w:lang w:val="x-none"/>
        </w:rPr>
        <w:br/>
      </w:r>
      <w:r w:rsidRPr="0064284A">
        <w:rPr>
          <w:rFonts w:ascii="Arial" w:hAnsi="Arial" w:cs="Arial"/>
          <w:color w:val="000000"/>
          <w:szCs w:val="24"/>
          <w:bdr w:val="none" w:sz="0" w:space="0" w:color="auto" w:frame="1"/>
        </w:rPr>
        <w:t xml:space="preserve">Za </w:t>
      </w:r>
      <w:proofErr w:type="spellStart"/>
      <w:r w:rsidRPr="0064284A">
        <w:rPr>
          <w:rFonts w:ascii="Arial" w:hAnsi="Arial" w:cs="Arial"/>
          <w:color w:val="000000"/>
          <w:szCs w:val="24"/>
          <w:bdr w:val="none" w:sz="0" w:space="0" w:color="auto" w:frame="1"/>
        </w:rPr>
        <w:t>sjednicu</w:t>
      </w:r>
      <w:proofErr w:type="spellEnd"/>
      <w:r w:rsidRPr="0064284A">
        <w:rPr>
          <w:rFonts w:ascii="Arial" w:hAnsi="Arial" w:cs="Arial"/>
          <w:color w:val="000000"/>
          <w:szCs w:val="24"/>
          <w:bdr w:val="none" w:sz="0" w:space="0" w:color="auto" w:frame="1"/>
        </w:rPr>
        <w:t xml:space="preserve"> </w:t>
      </w:r>
      <w:proofErr w:type="spellStart"/>
      <w:r w:rsidRPr="0064284A">
        <w:rPr>
          <w:rFonts w:ascii="Arial" w:hAnsi="Arial" w:cs="Arial"/>
          <w:color w:val="000000"/>
          <w:szCs w:val="24"/>
          <w:bdr w:val="none" w:sz="0" w:space="0" w:color="auto" w:frame="1"/>
        </w:rPr>
        <w:t>predložen</w:t>
      </w:r>
      <w:proofErr w:type="spellEnd"/>
      <w:r w:rsidRPr="0064284A">
        <w:rPr>
          <w:rFonts w:ascii="Arial" w:hAnsi="Arial" w:cs="Arial"/>
          <w:color w:val="000000"/>
          <w:szCs w:val="24"/>
          <w:bdr w:val="none" w:sz="0" w:space="0" w:color="auto" w:frame="1"/>
        </w:rPr>
        <w:t xml:space="preserve"> </w:t>
      </w:r>
      <w:proofErr w:type="spellStart"/>
      <w:r w:rsidRPr="0064284A">
        <w:rPr>
          <w:rFonts w:ascii="Arial" w:hAnsi="Arial" w:cs="Arial"/>
          <w:color w:val="000000"/>
          <w:szCs w:val="24"/>
          <w:bdr w:val="none" w:sz="0" w:space="0" w:color="auto" w:frame="1"/>
        </w:rPr>
        <w:t>sljedeći</w:t>
      </w:r>
      <w:proofErr w:type="spellEnd"/>
      <w:r w:rsidRPr="0064284A">
        <w:rPr>
          <w:rFonts w:ascii="Arial" w:hAnsi="Arial" w:cs="Arial"/>
          <w:color w:val="000000"/>
          <w:szCs w:val="24"/>
          <w:bdr w:val="none" w:sz="0" w:space="0" w:color="auto" w:frame="1"/>
        </w:rPr>
        <w:t xml:space="preserve"> </w:t>
      </w:r>
      <w:r w:rsidRPr="0064284A">
        <w:rPr>
          <w:rFonts w:ascii="Arial" w:hAnsi="Arial" w:cs="Arial"/>
          <w:color w:val="000000"/>
          <w:szCs w:val="24"/>
        </w:rPr>
        <w:t>                  </w:t>
      </w:r>
    </w:p>
    <w:p w14:paraId="7E1F311B" w14:textId="77777777" w:rsidR="00B726EA" w:rsidRPr="0064284A" w:rsidRDefault="00B726EA" w:rsidP="00B726EA">
      <w:pPr>
        <w:jc w:val="both"/>
        <w:rPr>
          <w:rFonts w:ascii="Arial" w:hAnsi="Arial" w:cs="Arial"/>
          <w:color w:val="000000"/>
          <w:szCs w:val="24"/>
        </w:rPr>
      </w:pPr>
      <w:r w:rsidRPr="0064284A">
        <w:rPr>
          <w:rFonts w:ascii="Arial" w:hAnsi="Arial" w:cs="Arial"/>
          <w:color w:val="000000"/>
          <w:szCs w:val="24"/>
          <w:bdr w:val="none" w:sz="0" w:space="0" w:color="auto" w:frame="1"/>
        </w:rPr>
        <w:t>DNEVNI RED:</w:t>
      </w:r>
    </w:p>
    <w:tbl>
      <w:tblPr>
        <w:tblW w:w="10026" w:type="dxa"/>
        <w:tblLayout w:type="fixed"/>
        <w:tblLook w:val="01E0" w:firstRow="1" w:lastRow="1" w:firstColumn="1" w:lastColumn="1" w:noHBand="0" w:noVBand="0"/>
      </w:tblPr>
      <w:tblGrid>
        <w:gridCol w:w="426"/>
        <w:gridCol w:w="9600"/>
      </w:tblGrid>
      <w:tr w:rsidR="00B726EA" w:rsidRPr="0064284A" w14:paraId="60416409" w14:textId="77777777" w:rsidTr="00653D5C">
        <w:trPr>
          <w:trHeight w:val="134"/>
        </w:trPr>
        <w:tc>
          <w:tcPr>
            <w:tcW w:w="426" w:type="dxa"/>
            <w:shd w:val="clear" w:color="auto" w:fill="auto"/>
          </w:tcPr>
          <w:p w14:paraId="0DABC9CE" w14:textId="77777777" w:rsidR="00B726EA" w:rsidRPr="0064284A" w:rsidRDefault="00B726EA" w:rsidP="00653D5C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Cs w:val="24"/>
              </w:rPr>
            </w:pPr>
          </w:p>
          <w:p w14:paraId="12699405" w14:textId="77777777" w:rsidR="00B726EA" w:rsidRPr="0064284A" w:rsidRDefault="00B726EA" w:rsidP="00653D5C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Cs w:val="24"/>
              </w:rPr>
            </w:pPr>
          </w:p>
          <w:p w14:paraId="77602F6C" w14:textId="77777777" w:rsidR="00B726EA" w:rsidRPr="0064284A" w:rsidRDefault="00B726EA" w:rsidP="00653D5C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Cs w:val="24"/>
              </w:rPr>
            </w:pPr>
          </w:p>
          <w:p w14:paraId="4008377F" w14:textId="77777777" w:rsidR="00B726EA" w:rsidRPr="0064284A" w:rsidRDefault="00B726EA" w:rsidP="00653D5C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Cs w:val="24"/>
              </w:rPr>
            </w:pPr>
          </w:p>
        </w:tc>
        <w:tc>
          <w:tcPr>
            <w:tcW w:w="9600" w:type="dxa"/>
          </w:tcPr>
          <w:p w14:paraId="1645E752" w14:textId="77777777" w:rsidR="00B726EA" w:rsidRPr="0064284A" w:rsidRDefault="00B726EA" w:rsidP="00653D5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tbl>
            <w:tblPr>
              <w:tblW w:w="17529" w:type="dxa"/>
              <w:tblLayout w:type="fixed"/>
              <w:tblLook w:val="04A0" w:firstRow="1" w:lastRow="0" w:firstColumn="1" w:lastColumn="0" w:noHBand="0" w:noVBand="1"/>
            </w:tblPr>
            <w:tblGrid>
              <w:gridCol w:w="9383"/>
              <w:gridCol w:w="1018"/>
              <w:gridCol w:w="1018"/>
              <w:gridCol w:w="1017"/>
              <w:gridCol w:w="1020"/>
              <w:gridCol w:w="1018"/>
              <w:gridCol w:w="1019"/>
              <w:gridCol w:w="1020"/>
              <w:gridCol w:w="1016"/>
            </w:tblGrid>
            <w:tr w:rsidR="00B726EA" w:rsidRPr="0064284A" w14:paraId="1BF2F37B" w14:textId="77777777" w:rsidTr="00653D5C">
              <w:trPr>
                <w:trHeight w:val="70"/>
              </w:trPr>
              <w:tc>
                <w:tcPr>
                  <w:tcW w:w="9383" w:type="dxa"/>
                  <w:shd w:val="clear" w:color="auto" w:fill="auto"/>
                  <w:vAlign w:val="center"/>
                </w:tcPr>
                <w:p w14:paraId="132671A5" w14:textId="77777777" w:rsidR="00B726EA" w:rsidRPr="00B726EA" w:rsidRDefault="00B726EA" w:rsidP="00B726EA">
                  <w:pPr>
                    <w:pStyle w:val="Odlomakpopisa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proofErr w:type="spellStart"/>
                  <w:r w:rsidRPr="00B726EA">
                    <w:rPr>
                      <w:rFonts w:ascii="Arial" w:hAnsi="Arial" w:cs="Arial"/>
                      <w:color w:val="000000"/>
                      <w:szCs w:val="24"/>
                    </w:rPr>
                    <w:t>Usvajanje</w:t>
                  </w:r>
                  <w:proofErr w:type="spellEnd"/>
                  <w:r w:rsidRPr="00B726EA"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B726EA">
                    <w:rPr>
                      <w:rFonts w:ascii="Arial" w:hAnsi="Arial" w:cs="Arial"/>
                      <w:color w:val="000000"/>
                      <w:szCs w:val="24"/>
                    </w:rPr>
                    <w:t>zapisnika</w:t>
                  </w:r>
                  <w:proofErr w:type="spellEnd"/>
                  <w:r w:rsidRPr="00B726EA"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B726EA">
                    <w:rPr>
                      <w:rFonts w:ascii="Arial" w:hAnsi="Arial" w:cs="Arial"/>
                      <w:color w:val="000000"/>
                      <w:szCs w:val="24"/>
                    </w:rPr>
                    <w:t>sa</w:t>
                  </w:r>
                  <w:proofErr w:type="spellEnd"/>
                  <w:r w:rsidRPr="00B726EA">
                    <w:rPr>
                      <w:rFonts w:ascii="Arial" w:hAnsi="Arial" w:cs="Arial"/>
                      <w:color w:val="000000"/>
                      <w:szCs w:val="24"/>
                    </w:rPr>
                    <w:t xml:space="preserve"> 3. </w:t>
                  </w:r>
                  <w:proofErr w:type="spellStart"/>
                  <w:r w:rsidRPr="00B726EA">
                    <w:rPr>
                      <w:rFonts w:ascii="Arial" w:hAnsi="Arial" w:cs="Arial"/>
                      <w:color w:val="000000"/>
                      <w:szCs w:val="24"/>
                    </w:rPr>
                    <w:t>sjednice</w:t>
                  </w:r>
                  <w:proofErr w:type="spellEnd"/>
                  <w:r w:rsidRPr="00B726EA"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B726EA">
                    <w:rPr>
                      <w:rFonts w:ascii="Arial" w:hAnsi="Arial" w:cs="Arial"/>
                      <w:color w:val="000000"/>
                      <w:szCs w:val="24"/>
                    </w:rPr>
                    <w:t>Školskog</w:t>
                  </w:r>
                  <w:proofErr w:type="spellEnd"/>
                  <w:r w:rsidRPr="00B726EA"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B726EA">
                    <w:rPr>
                      <w:rFonts w:ascii="Arial" w:hAnsi="Arial" w:cs="Arial"/>
                      <w:color w:val="000000"/>
                      <w:szCs w:val="24"/>
                    </w:rPr>
                    <w:t>odbora</w:t>
                  </w:r>
                  <w:proofErr w:type="spellEnd"/>
                  <w:r w:rsidRPr="00B726EA">
                    <w:rPr>
                      <w:rFonts w:ascii="Arial" w:hAnsi="Arial" w:cs="Arial"/>
                      <w:color w:val="000000"/>
                      <w:szCs w:val="24"/>
                    </w:rPr>
                    <w:t xml:space="preserve"> od 22. </w:t>
                  </w:r>
                  <w:proofErr w:type="spellStart"/>
                  <w:r w:rsidRPr="00B726EA">
                    <w:rPr>
                      <w:rFonts w:ascii="Arial" w:hAnsi="Arial" w:cs="Arial"/>
                      <w:color w:val="000000"/>
                      <w:szCs w:val="24"/>
                    </w:rPr>
                    <w:t>svibnja</w:t>
                  </w:r>
                  <w:proofErr w:type="spellEnd"/>
                  <w:r w:rsidRPr="00B726EA">
                    <w:rPr>
                      <w:rFonts w:ascii="Arial" w:hAnsi="Arial" w:cs="Arial"/>
                      <w:color w:val="000000"/>
                      <w:szCs w:val="24"/>
                    </w:rPr>
                    <w:t xml:space="preserve"> 2025. </w:t>
                  </w:r>
                  <w:proofErr w:type="spellStart"/>
                  <w:r w:rsidRPr="00B726EA">
                    <w:rPr>
                      <w:rFonts w:ascii="Arial" w:hAnsi="Arial" w:cs="Arial"/>
                      <w:color w:val="000000"/>
                      <w:szCs w:val="24"/>
                    </w:rPr>
                    <w:t>godine</w:t>
                  </w:r>
                  <w:proofErr w:type="spellEnd"/>
                  <w:r w:rsidRPr="00B726EA">
                    <w:rPr>
                      <w:rFonts w:ascii="Arial" w:hAnsi="Arial" w:cs="Arial"/>
                      <w:color w:val="000000"/>
                      <w:szCs w:val="24"/>
                    </w:rPr>
                    <w:t>;</w:t>
                  </w:r>
                </w:p>
                <w:p w14:paraId="44E27339" w14:textId="77777777" w:rsidR="00B726EA" w:rsidRPr="00B726EA" w:rsidRDefault="00B726EA" w:rsidP="00B726EA">
                  <w:pPr>
                    <w:pStyle w:val="Odlomakpopisa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proofErr w:type="spellStart"/>
                  <w:r w:rsidRPr="00B726EA">
                    <w:rPr>
                      <w:rFonts w:ascii="Arial" w:hAnsi="Arial" w:cs="Arial"/>
                      <w:color w:val="000000"/>
                      <w:szCs w:val="24"/>
                    </w:rPr>
                    <w:t>Usvajanje</w:t>
                  </w:r>
                  <w:proofErr w:type="spellEnd"/>
                  <w:r w:rsidRPr="00B726EA">
                    <w:rPr>
                      <w:rFonts w:ascii="Arial" w:hAnsi="Arial" w:cs="Arial"/>
                      <w:color w:val="000000"/>
                      <w:szCs w:val="24"/>
                    </w:rPr>
                    <w:t xml:space="preserve"> I. </w:t>
                  </w:r>
                  <w:proofErr w:type="spellStart"/>
                  <w:r w:rsidRPr="00B726EA">
                    <w:rPr>
                      <w:rFonts w:ascii="Arial" w:hAnsi="Arial" w:cs="Arial"/>
                      <w:color w:val="000000"/>
                      <w:szCs w:val="24"/>
                    </w:rPr>
                    <w:t>Izmjena</w:t>
                  </w:r>
                  <w:proofErr w:type="spellEnd"/>
                  <w:r w:rsidRPr="00B726EA">
                    <w:rPr>
                      <w:rFonts w:ascii="Arial" w:hAnsi="Arial" w:cs="Arial"/>
                      <w:color w:val="000000"/>
                      <w:szCs w:val="24"/>
                    </w:rPr>
                    <w:t xml:space="preserve"> I </w:t>
                  </w:r>
                  <w:proofErr w:type="spellStart"/>
                  <w:r w:rsidRPr="00B726EA">
                    <w:rPr>
                      <w:rFonts w:ascii="Arial" w:hAnsi="Arial" w:cs="Arial"/>
                      <w:color w:val="000000"/>
                      <w:szCs w:val="24"/>
                    </w:rPr>
                    <w:t>dopuna</w:t>
                  </w:r>
                  <w:proofErr w:type="spellEnd"/>
                  <w:r w:rsidRPr="00B726EA">
                    <w:rPr>
                      <w:rFonts w:ascii="Arial" w:hAnsi="Arial" w:cs="Arial"/>
                      <w:color w:val="000000"/>
                      <w:szCs w:val="24"/>
                    </w:rPr>
                    <w:t xml:space="preserve"> Plana </w:t>
                  </w:r>
                  <w:proofErr w:type="spellStart"/>
                  <w:r w:rsidRPr="00B726EA">
                    <w:rPr>
                      <w:rFonts w:ascii="Arial" w:hAnsi="Arial" w:cs="Arial"/>
                      <w:color w:val="000000"/>
                      <w:szCs w:val="24"/>
                    </w:rPr>
                    <w:t>nabave</w:t>
                  </w:r>
                  <w:proofErr w:type="spellEnd"/>
                  <w:r w:rsidRPr="00B726EA">
                    <w:rPr>
                      <w:rFonts w:ascii="Arial" w:hAnsi="Arial" w:cs="Arial"/>
                      <w:color w:val="000000"/>
                      <w:szCs w:val="24"/>
                    </w:rPr>
                    <w:t xml:space="preserve"> za 2025. </w:t>
                  </w:r>
                  <w:proofErr w:type="spellStart"/>
                  <w:r w:rsidRPr="00B726EA">
                    <w:rPr>
                      <w:rFonts w:ascii="Arial" w:hAnsi="Arial" w:cs="Arial"/>
                      <w:color w:val="000000"/>
                      <w:szCs w:val="24"/>
                    </w:rPr>
                    <w:t>godinu</w:t>
                  </w:r>
                  <w:proofErr w:type="spellEnd"/>
                  <w:r w:rsidRPr="00B726EA">
                    <w:rPr>
                      <w:rFonts w:ascii="Arial" w:hAnsi="Arial" w:cs="Arial"/>
                      <w:color w:val="000000"/>
                      <w:szCs w:val="24"/>
                    </w:rPr>
                    <w:t>;</w:t>
                  </w:r>
                </w:p>
                <w:p w14:paraId="3E6B38F5" w14:textId="77777777" w:rsidR="00B726EA" w:rsidRPr="00B726EA" w:rsidRDefault="00B726EA" w:rsidP="00B726EA">
                  <w:pPr>
                    <w:pStyle w:val="Odlomakpopisa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proofErr w:type="spellStart"/>
                  <w:r w:rsidRPr="00B726EA">
                    <w:rPr>
                      <w:rFonts w:ascii="Arial" w:hAnsi="Arial" w:cs="Arial"/>
                      <w:color w:val="000000"/>
                      <w:szCs w:val="24"/>
                    </w:rPr>
                    <w:t>Usvajanje</w:t>
                  </w:r>
                  <w:proofErr w:type="spellEnd"/>
                  <w:r w:rsidRPr="00B726EA"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B726EA">
                    <w:rPr>
                      <w:rFonts w:ascii="Arial" w:hAnsi="Arial" w:cs="Arial"/>
                      <w:color w:val="000000"/>
                      <w:szCs w:val="24"/>
                    </w:rPr>
                    <w:t>prijedloga</w:t>
                  </w:r>
                  <w:proofErr w:type="spellEnd"/>
                  <w:r w:rsidRPr="00B726EA">
                    <w:rPr>
                      <w:rFonts w:ascii="Arial" w:hAnsi="Arial" w:cs="Arial"/>
                      <w:color w:val="000000"/>
                      <w:szCs w:val="24"/>
                    </w:rPr>
                    <w:t xml:space="preserve"> I. </w:t>
                  </w:r>
                  <w:proofErr w:type="spellStart"/>
                  <w:r w:rsidRPr="00B726EA">
                    <w:rPr>
                      <w:rFonts w:ascii="Arial" w:hAnsi="Arial" w:cs="Arial"/>
                      <w:color w:val="000000"/>
                      <w:szCs w:val="24"/>
                    </w:rPr>
                    <w:t>Izmjena</w:t>
                  </w:r>
                  <w:proofErr w:type="spellEnd"/>
                  <w:r w:rsidRPr="00B726EA">
                    <w:rPr>
                      <w:rFonts w:ascii="Arial" w:hAnsi="Arial" w:cs="Arial"/>
                      <w:color w:val="000000"/>
                      <w:szCs w:val="24"/>
                    </w:rPr>
                    <w:t xml:space="preserve">  i </w:t>
                  </w:r>
                  <w:proofErr w:type="spellStart"/>
                  <w:r w:rsidRPr="00B726EA">
                    <w:rPr>
                      <w:rFonts w:ascii="Arial" w:hAnsi="Arial" w:cs="Arial"/>
                      <w:color w:val="000000"/>
                      <w:szCs w:val="24"/>
                    </w:rPr>
                    <w:t>dopuna</w:t>
                  </w:r>
                  <w:proofErr w:type="spellEnd"/>
                  <w:r w:rsidRPr="00B726EA"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B726EA">
                    <w:rPr>
                      <w:rFonts w:ascii="Arial" w:hAnsi="Arial" w:cs="Arial"/>
                      <w:color w:val="000000"/>
                      <w:szCs w:val="24"/>
                    </w:rPr>
                    <w:t>financijskog</w:t>
                  </w:r>
                  <w:proofErr w:type="spellEnd"/>
                  <w:r w:rsidRPr="00B726EA">
                    <w:rPr>
                      <w:rFonts w:ascii="Arial" w:hAnsi="Arial" w:cs="Arial"/>
                      <w:color w:val="000000"/>
                      <w:szCs w:val="24"/>
                    </w:rPr>
                    <w:t xml:space="preserve"> plana za 2025. </w:t>
                  </w:r>
                  <w:proofErr w:type="spellStart"/>
                  <w:r w:rsidRPr="00B726EA">
                    <w:rPr>
                      <w:rFonts w:ascii="Arial" w:hAnsi="Arial" w:cs="Arial"/>
                      <w:color w:val="000000"/>
                      <w:szCs w:val="24"/>
                    </w:rPr>
                    <w:t>godinu</w:t>
                  </w:r>
                  <w:proofErr w:type="spellEnd"/>
                </w:p>
                <w:p w14:paraId="3274F462" w14:textId="77777777" w:rsidR="00B726EA" w:rsidRPr="00B726EA" w:rsidRDefault="00B726EA" w:rsidP="00B726EA">
                  <w:pPr>
                    <w:pStyle w:val="Odlomakpopisa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proofErr w:type="spellStart"/>
                  <w:r w:rsidRPr="00B726EA">
                    <w:rPr>
                      <w:rFonts w:ascii="Arial" w:hAnsi="Arial" w:cs="Arial"/>
                      <w:color w:val="000000"/>
                      <w:szCs w:val="24"/>
                    </w:rPr>
                    <w:t>Razno</w:t>
                  </w:r>
                  <w:proofErr w:type="spellEnd"/>
                  <w:r w:rsidRPr="00B726EA"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</w:p>
                <w:p w14:paraId="4BD02439" w14:textId="77777777" w:rsidR="00B726EA" w:rsidRPr="00305AA6" w:rsidRDefault="00B726EA" w:rsidP="00305AA6">
                  <w:pPr>
                    <w:spacing w:after="0" w:line="240" w:lineRule="auto"/>
                    <w:ind w:left="360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  <w:p w14:paraId="7D5D319C" w14:textId="77777777" w:rsidR="00B726EA" w:rsidRPr="0064284A" w:rsidRDefault="00B726EA" w:rsidP="00653D5C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  <w:p w14:paraId="67DD3092" w14:textId="194BFCEE" w:rsidR="008F75FE" w:rsidRPr="008F75FE" w:rsidRDefault="00B726EA" w:rsidP="008F75FE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Prvi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poziv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4.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elektronsku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sjednicu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Školskog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odbora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bio je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različit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u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odnosu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8F75FE" w:rsidRPr="008F75FE">
                    <w:rPr>
                      <w:rFonts w:ascii="Arial" w:hAnsi="Arial" w:cs="Arial"/>
                      <w:szCs w:val="24"/>
                    </w:rPr>
                    <w:t>naknadno</w:t>
                  </w:r>
                  <w:proofErr w:type="spellEnd"/>
                  <w:r w:rsidR="008F75FE"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8F75FE" w:rsidRPr="008F75FE">
                    <w:rPr>
                      <w:rFonts w:ascii="Arial" w:hAnsi="Arial" w:cs="Arial"/>
                      <w:szCs w:val="24"/>
                    </w:rPr>
                    <w:t>dostavljeni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temelju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kojeg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se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održavala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Sjednica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Školskog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odbora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.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Naime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prvi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poziv</w:t>
                  </w:r>
                  <w:proofErr w:type="spellEnd"/>
                  <w:r w:rsidR="008F75FE"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8F75FE" w:rsidRPr="008F75FE">
                    <w:rPr>
                      <w:rFonts w:ascii="Arial" w:hAnsi="Arial" w:cs="Arial"/>
                      <w:szCs w:val="24"/>
                    </w:rPr>
                    <w:t>na</w:t>
                  </w:r>
                  <w:proofErr w:type="spellEnd"/>
                  <w:r w:rsidR="008F75FE"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8F75FE" w:rsidRPr="008F75FE">
                    <w:rPr>
                      <w:rFonts w:ascii="Arial" w:hAnsi="Arial" w:cs="Arial"/>
                      <w:szCs w:val="24"/>
                    </w:rPr>
                    <w:t>sjednicu</w:t>
                  </w:r>
                  <w:proofErr w:type="spellEnd"/>
                  <w:r w:rsidR="008F75FE"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8F75FE" w:rsidRPr="008F75FE">
                    <w:rPr>
                      <w:rFonts w:ascii="Arial" w:hAnsi="Arial" w:cs="Arial"/>
                      <w:szCs w:val="24"/>
                    </w:rPr>
                    <w:t>Školskog</w:t>
                  </w:r>
                  <w:proofErr w:type="spellEnd"/>
                  <w:r w:rsidR="008F75FE"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8F75FE" w:rsidRPr="008F75FE">
                    <w:rPr>
                      <w:rFonts w:ascii="Arial" w:hAnsi="Arial" w:cs="Arial"/>
                      <w:szCs w:val="24"/>
                    </w:rPr>
                    <w:t>odbora</w:t>
                  </w:r>
                  <w:proofErr w:type="spellEnd"/>
                  <w:r w:rsidR="008F75FE"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8F75FE" w:rsidRPr="008F75FE">
                    <w:rPr>
                      <w:rFonts w:ascii="Arial" w:hAnsi="Arial" w:cs="Arial"/>
                      <w:szCs w:val="24"/>
                    </w:rPr>
                    <w:t>sadržavao</w:t>
                  </w:r>
                  <w:proofErr w:type="spellEnd"/>
                  <w:r w:rsidR="008F75FE" w:rsidRPr="008F75FE">
                    <w:rPr>
                      <w:rFonts w:ascii="Arial" w:hAnsi="Arial" w:cs="Arial"/>
                      <w:szCs w:val="24"/>
                    </w:rPr>
                    <w:t xml:space="preserve"> je </w:t>
                  </w:r>
                  <w:proofErr w:type="spellStart"/>
                  <w:r w:rsidR="008F75FE" w:rsidRPr="008F75FE">
                    <w:rPr>
                      <w:rFonts w:ascii="Arial" w:hAnsi="Arial" w:cs="Arial"/>
                      <w:szCs w:val="24"/>
                    </w:rPr>
                    <w:t>točku</w:t>
                  </w:r>
                  <w:proofErr w:type="spellEnd"/>
                  <w:r w:rsidR="008F75FE" w:rsidRPr="008F75FE">
                    <w:rPr>
                      <w:rFonts w:ascii="Arial" w:hAnsi="Arial" w:cs="Arial"/>
                      <w:szCs w:val="24"/>
                    </w:rPr>
                    <w:t>: “</w:t>
                  </w:r>
                  <w:proofErr w:type="spellStart"/>
                  <w:r w:rsidR="008F75FE" w:rsidRPr="008F75F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Usvajanje</w:t>
                  </w:r>
                  <w:proofErr w:type="spellEnd"/>
                  <w:r w:rsidR="008F75FE" w:rsidRPr="008F75F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F75FE" w:rsidRPr="008F75F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odluke</w:t>
                  </w:r>
                  <w:proofErr w:type="spellEnd"/>
                  <w:r w:rsidR="008F75FE" w:rsidRPr="008F75F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o </w:t>
                  </w:r>
                  <w:proofErr w:type="spellStart"/>
                  <w:r w:rsidR="008F75FE" w:rsidRPr="008F75F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donošenju</w:t>
                  </w:r>
                  <w:proofErr w:type="spellEnd"/>
                  <w:r w:rsidR="008F75FE" w:rsidRPr="008F75F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F75FE" w:rsidRPr="008F75F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Procjena</w:t>
                  </w:r>
                  <w:proofErr w:type="spellEnd"/>
                  <w:r w:rsidR="008F75FE" w:rsidRPr="008F75F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F75FE" w:rsidRPr="008F75F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postojećeg</w:t>
                  </w:r>
                  <w:proofErr w:type="spellEnd"/>
                  <w:r w:rsidR="008F75FE" w:rsidRPr="008F75F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F75FE" w:rsidRPr="008F75F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stanja</w:t>
                  </w:r>
                  <w:proofErr w:type="spellEnd"/>
                  <w:r w:rsidR="008F75FE" w:rsidRPr="008F75F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F75FE" w:rsidRPr="008F75F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sigurnosti</w:t>
                  </w:r>
                  <w:proofErr w:type="spellEnd"/>
                  <w:r w:rsidR="008F75FE" w:rsidRPr="008F75F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F75FE" w:rsidRPr="008F75F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i</w:t>
                  </w:r>
                  <w:proofErr w:type="spellEnd"/>
                  <w:r w:rsidR="008F75FE" w:rsidRPr="008F75F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F75FE" w:rsidRPr="008F75F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analize</w:t>
                  </w:r>
                  <w:proofErr w:type="spellEnd"/>
                  <w:r w:rsidR="008F75FE" w:rsidRPr="008F75F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F75FE" w:rsidRPr="008F75F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rizika</w:t>
                  </w:r>
                  <w:proofErr w:type="spellEnd"/>
                  <w:r w:rsidR="008F75FE" w:rsidRPr="008F75F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;”</w:t>
                  </w:r>
                </w:p>
                <w:p w14:paraId="1332F960" w14:textId="276438F6" w:rsidR="008F75FE" w:rsidRDefault="008F75FE" w:rsidP="008F75FE">
                  <w:pPr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Članovi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Školskog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odbora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obaviješteni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kako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je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dokument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u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izradi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kako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se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čekaju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još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neke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informacije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. S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obzirom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da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dokument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Procjene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postojećeg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stanja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sigurnosti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I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analize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rizika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nije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izrađen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do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kraja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, to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isto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je u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okviru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rada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tajništva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skinut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sjednice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dnevnog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reda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te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članovi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obaviješteni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s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novim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izmijenjenim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pozivom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14:paraId="22B1A2B2" w14:textId="77777777" w:rsidR="008F75FE" w:rsidRDefault="008F75FE" w:rsidP="008F75FE">
                  <w:pPr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Točke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dnevnog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reda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pripremljene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su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okviru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računovodstva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Osnovne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škole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Vladimir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Nazor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Križevci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14:paraId="0231791E" w14:textId="0C64721B" w:rsidR="008F75FE" w:rsidRPr="008F75FE" w:rsidRDefault="008F75FE" w:rsidP="008F75FE">
                  <w:pPr>
                    <w:rPr>
                      <w:rFonts w:ascii="Arial" w:hAnsi="Arial" w:cs="Arial"/>
                      <w:szCs w:val="24"/>
                    </w:rPr>
                  </w:pPr>
                  <w:r w:rsidRPr="008F75FE">
                    <w:rPr>
                      <w:rFonts w:ascii="Arial" w:hAnsi="Arial" w:cs="Arial"/>
                      <w:szCs w:val="24"/>
                    </w:rPr>
                    <w:t>OBRAZLOŽENJE I. IZMJENA I DOPUNA FINANCIJSKOG PLANA ZA 2025. GODINU</w:t>
                  </w:r>
                </w:p>
                <w:p w14:paraId="7FDA5487" w14:textId="047A211F" w:rsidR="008F75FE" w:rsidRPr="008F75FE" w:rsidRDefault="008F75FE" w:rsidP="008F75FE">
                  <w:pPr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Djelatnost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Osnovne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škole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„Vladimir </w:t>
                  </w:r>
                  <w:proofErr w:type="spellStart"/>
                  <w:proofErr w:type="gramStart"/>
                  <w:r w:rsidRPr="008F75FE">
                    <w:rPr>
                      <w:rFonts w:ascii="Arial" w:hAnsi="Arial" w:cs="Arial"/>
                      <w:szCs w:val="24"/>
                    </w:rPr>
                    <w:t>Nazor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“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Križevci</w:t>
                  </w:r>
                  <w:proofErr w:type="spellEnd"/>
                  <w:proofErr w:type="gramEnd"/>
                  <w:r w:rsidRPr="008F75FE">
                    <w:rPr>
                      <w:rFonts w:ascii="Arial" w:hAnsi="Arial" w:cs="Arial"/>
                      <w:szCs w:val="24"/>
                    </w:rPr>
                    <w:t xml:space="preserve"> je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odgoj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opće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obrazovanje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djece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mladeži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osnovnoškolske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dobi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(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odgoj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naobrazba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skrb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o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djeci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od 6 do 15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godina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).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Škola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obavlja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svoju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djelatnost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temelju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Zakona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o </w:t>
                  </w:r>
                  <w:proofErr w:type="spellStart"/>
                  <w:proofErr w:type="gramStart"/>
                  <w:r w:rsidRPr="008F75FE">
                    <w:rPr>
                      <w:rFonts w:ascii="Arial" w:hAnsi="Arial" w:cs="Arial"/>
                      <w:szCs w:val="24"/>
                    </w:rPr>
                    <w:t>ustanovama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proofErr w:type="gram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prema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Zakonu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o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odgoju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lastRenderedPageBreak/>
                    <w:t>obrazovanju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u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osnovnoj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srednjoj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školi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te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prema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Planu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programu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rada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Škole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Školskom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kurikulumu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. </w:t>
                  </w:r>
                </w:p>
                <w:p w14:paraId="22972E6E" w14:textId="280FB679" w:rsidR="008F75FE" w:rsidRPr="008F75FE" w:rsidRDefault="008F75FE" w:rsidP="008F75FE">
                  <w:pPr>
                    <w:rPr>
                      <w:rFonts w:ascii="Arial" w:hAnsi="Arial" w:cs="Arial"/>
                      <w:szCs w:val="24"/>
                    </w:rPr>
                  </w:pPr>
                  <w:r w:rsidRPr="008F75FE">
                    <w:rPr>
                      <w:rFonts w:ascii="Arial" w:hAnsi="Arial" w:cs="Arial"/>
                      <w:szCs w:val="24"/>
                    </w:rPr>
                    <w:t>A) OBRAZLOŽENJE IZMJENA I DOPUNA OPĆEG DIJELA PRORAČUN</w:t>
                  </w:r>
                  <w:r>
                    <w:rPr>
                      <w:rFonts w:ascii="Arial" w:hAnsi="Arial" w:cs="Arial"/>
                      <w:szCs w:val="24"/>
                    </w:rPr>
                    <w:t>A</w:t>
                  </w:r>
                </w:p>
                <w:p w14:paraId="0E554F23" w14:textId="2A9828E3" w:rsidR="008F75FE" w:rsidRPr="008F75FE" w:rsidRDefault="008F75FE" w:rsidP="008F75FE">
                  <w:pPr>
                    <w:rPr>
                      <w:rFonts w:ascii="Arial" w:hAnsi="Arial" w:cs="Arial"/>
                      <w:szCs w:val="24"/>
                    </w:rPr>
                  </w:pPr>
                  <w:r w:rsidRPr="008F75FE">
                    <w:rPr>
                      <w:rFonts w:ascii="Arial" w:hAnsi="Arial" w:cs="Arial"/>
                      <w:szCs w:val="24"/>
                    </w:rPr>
                    <w:t>PRIHODI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- </w:t>
                  </w:r>
                  <w:r w:rsidRPr="008F75FE">
                    <w:rPr>
                      <w:rFonts w:ascii="Arial" w:hAnsi="Arial" w:cs="Arial"/>
                      <w:szCs w:val="24"/>
                    </w:rPr>
                    <w:t>PRIHODI POSLOVANJA (6)</w:t>
                  </w:r>
                </w:p>
                <w:p w14:paraId="3ACA75BE" w14:textId="50B5C61B" w:rsidR="008F75FE" w:rsidRPr="008F75FE" w:rsidRDefault="008F75FE" w:rsidP="008F75FE">
                  <w:pPr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Prihodi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poslovanja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2025.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godinu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planirani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u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iznosu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3.429.800,00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eura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, a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ovim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I.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Izmjenama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dopunama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Proračuna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povećani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413.690,16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eura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što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se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najvećim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dijelom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odnosi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opće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prihode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8F75FE">
                    <w:rPr>
                      <w:rFonts w:ascii="Arial" w:hAnsi="Arial" w:cs="Arial"/>
                      <w:szCs w:val="24"/>
                    </w:rPr>
                    <w:t>primitke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zbog</w:t>
                  </w:r>
                  <w:proofErr w:type="spellEnd"/>
                  <w:proofErr w:type="gram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povećanja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cijene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prijevoza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učenika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te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prihode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iz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drugih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proračuna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te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ostalih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subjekata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unutar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općeg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proračuna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zbog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povećanje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osnovice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plaća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 za 3%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od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rujna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2025.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godine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sukladno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novom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Temeljnom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kolektivnom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ugovoru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službenike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namještenike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u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javnim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službama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. </w:t>
                  </w:r>
                </w:p>
                <w:p w14:paraId="0413CABA" w14:textId="77777777" w:rsidR="008F75FE" w:rsidRPr="008F75FE" w:rsidRDefault="008F75FE" w:rsidP="008F75FE">
                  <w:pPr>
                    <w:rPr>
                      <w:rFonts w:ascii="Arial" w:hAnsi="Arial" w:cs="Arial"/>
                      <w:szCs w:val="24"/>
                    </w:rPr>
                  </w:pPr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Pomoći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iz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inozemstva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od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subjekata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unutar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općeg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proračuna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(63)</w:t>
                  </w:r>
                </w:p>
                <w:p w14:paraId="022497BD" w14:textId="687DEBEC" w:rsidR="008F75FE" w:rsidRPr="008F75FE" w:rsidRDefault="008F75FE" w:rsidP="008F75FE">
                  <w:pPr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Pomoći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iz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inozemstva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od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subjekata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unutar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općeg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proračuna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planirane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u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iznosu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2.909.800,00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eura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gramStart"/>
                  <w:r w:rsidRPr="008F75FE">
                    <w:rPr>
                      <w:rFonts w:ascii="Arial" w:hAnsi="Arial" w:cs="Arial"/>
                      <w:szCs w:val="24"/>
                    </w:rPr>
                    <w:t>a</w:t>
                  </w:r>
                  <w:proofErr w:type="gram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ovim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Izmjenama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dopunama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Proračuna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povećane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43.797,30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eura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.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Povećanje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obuhvaća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prihode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plaće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materijalne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naknade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zaposlenicima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Škole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sukladno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Temeljnom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kolektivnom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ugovoru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službenike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namještenike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u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javnim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službama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Zakonu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o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plaćama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u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državnoj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službi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javnim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službama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.  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Povećanje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se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odnosi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pomoći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EU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proračunskim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korisnicima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Projekt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Erasmus +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zbog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doznačenih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sredstva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provedbu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novog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Erasmus+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projekta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14:paraId="50DDCE2E" w14:textId="77777777" w:rsidR="008F75FE" w:rsidRPr="008F75FE" w:rsidRDefault="008F75FE" w:rsidP="008F75FE">
                  <w:pPr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Prihodi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od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upravnih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administrativnih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pristojbi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pristojbi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po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posebnim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propisima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naknada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(65)</w:t>
                  </w:r>
                </w:p>
                <w:p w14:paraId="02F9D3DF" w14:textId="71F17FBB" w:rsidR="008F75FE" w:rsidRPr="008F75FE" w:rsidRDefault="008F75FE" w:rsidP="008F75FE">
                  <w:pPr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Prihodi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od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upravnih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administrativnih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pristojbi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pristojbi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po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posebnim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propisima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naknada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8F75FE">
                    <w:rPr>
                      <w:rFonts w:ascii="Arial" w:hAnsi="Arial" w:cs="Arial"/>
                      <w:szCs w:val="24"/>
                    </w:rPr>
                    <w:t>planirani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 u</w:t>
                  </w:r>
                  <w:proofErr w:type="gram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iznosu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22.500,00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eura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ostali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nepromijenjeni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>.</w:t>
                  </w:r>
                  <w:r w:rsidR="008C71BF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Prihodi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od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prodaje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proizvoda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robe,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pruženih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usluga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8F75FE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prihodi</w:t>
                  </w:r>
                  <w:proofErr w:type="spellEnd"/>
                  <w:proofErr w:type="gram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od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donacija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planirani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 2025.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godinu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u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iznosu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10.000,00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eura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, a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ovim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Izmjenama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8F75FE">
                    <w:rPr>
                      <w:rFonts w:ascii="Arial" w:hAnsi="Arial" w:cs="Arial"/>
                      <w:szCs w:val="24"/>
                    </w:rPr>
                    <w:t>dopunama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ostali</w:t>
                  </w:r>
                  <w:proofErr w:type="spellEnd"/>
                  <w:proofErr w:type="gram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nepromijenjeni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14:paraId="4541C916" w14:textId="77777777" w:rsidR="008F75FE" w:rsidRPr="008F75FE" w:rsidRDefault="008F75FE" w:rsidP="008F75FE">
                  <w:pPr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Prihodi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iz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nadležnog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proračuna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od HZZO-a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temeljem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ugovornih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obveza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(67)</w:t>
                  </w:r>
                </w:p>
                <w:p w14:paraId="3BBCD6C6" w14:textId="3DB633FC" w:rsidR="008F75FE" w:rsidRPr="008F75FE" w:rsidRDefault="008F75FE" w:rsidP="008F75FE">
                  <w:pPr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Prihodi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iz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nadležnog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proračuna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od HZZO-a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temeljem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ugovornih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obveza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planirani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2025.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godinu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u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iznosu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487.000,00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eura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gramStart"/>
                  <w:r w:rsidRPr="008F75FE">
                    <w:rPr>
                      <w:rFonts w:ascii="Arial" w:hAnsi="Arial" w:cs="Arial"/>
                      <w:szCs w:val="24"/>
                    </w:rPr>
                    <w:t>a</w:t>
                  </w:r>
                  <w:proofErr w:type="gram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ovim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Izmjenama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dopunama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povećani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369.892,86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eura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.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Povećanje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prihoda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se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odnosi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troškove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prijevoza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učenika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nabavu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drugih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obrazovnih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materijala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(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radnih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bilježnica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)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plaće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u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produženom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boravku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u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iznosu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od 233.092,86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eura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. Sa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izvora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63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prebačen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je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iznos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gramStart"/>
                  <w:r w:rsidRPr="008F75FE">
                    <w:rPr>
                      <w:rFonts w:ascii="Arial" w:hAnsi="Arial" w:cs="Arial"/>
                      <w:szCs w:val="24"/>
                    </w:rPr>
                    <w:t>od  136.800</w:t>
                  </w:r>
                  <w:proofErr w:type="gramEnd"/>
                  <w:r w:rsidRPr="008F75FE">
                    <w:rPr>
                      <w:rFonts w:ascii="Arial" w:hAnsi="Arial" w:cs="Arial"/>
                      <w:szCs w:val="24"/>
                    </w:rPr>
                    <w:t xml:space="preserve">,00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eura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Projekte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Pomozimo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jedni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drugima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Školska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shema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zbog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tehnike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knjiženja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14:paraId="56884112" w14:textId="77777777" w:rsidR="008F75FE" w:rsidRPr="008F75FE" w:rsidRDefault="008F75FE" w:rsidP="008F75FE">
                  <w:pPr>
                    <w:rPr>
                      <w:rFonts w:ascii="Arial" w:hAnsi="Arial" w:cs="Arial"/>
                      <w:szCs w:val="24"/>
                    </w:rPr>
                  </w:pPr>
                  <w:r w:rsidRPr="008F75FE">
                    <w:rPr>
                      <w:rFonts w:ascii="Arial" w:hAnsi="Arial" w:cs="Arial"/>
                      <w:szCs w:val="24"/>
                    </w:rPr>
                    <w:t>PRIHODI OD PRODAJE NEFINANCIJSKE IMOVINE (7)</w:t>
                  </w:r>
                </w:p>
                <w:p w14:paraId="47EE4F7C" w14:textId="77777777" w:rsidR="008F75FE" w:rsidRPr="008F75FE" w:rsidRDefault="008F75FE" w:rsidP="008F75FE">
                  <w:pPr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Prihodi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od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prodaje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proizvedene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dugotrajne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imovine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(72)</w:t>
                  </w:r>
                </w:p>
                <w:p w14:paraId="71CBF5C0" w14:textId="73CEECF4" w:rsidR="008F75FE" w:rsidRPr="008F75FE" w:rsidRDefault="008F75FE" w:rsidP="008F75FE">
                  <w:pPr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Prihodi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od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prodaje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proizvedene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dugotrajne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imovine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planirani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u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ukupnom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iznosu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500,00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eura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2025.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godinu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.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Radi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se o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prihodima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od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prodaje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stanova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stanarskim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pravom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te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od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prodaje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opreme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koji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ostali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nepromijenjeni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14:paraId="5B11AD0C" w14:textId="1965DE97" w:rsidR="008F75FE" w:rsidRPr="008F75FE" w:rsidRDefault="008F75FE" w:rsidP="008F75FE">
                  <w:pPr>
                    <w:rPr>
                      <w:rFonts w:ascii="Arial" w:hAnsi="Arial" w:cs="Arial"/>
                      <w:szCs w:val="24"/>
                    </w:rPr>
                  </w:pPr>
                  <w:r w:rsidRPr="008F75FE">
                    <w:rPr>
                      <w:rFonts w:ascii="Arial" w:hAnsi="Arial" w:cs="Arial"/>
                      <w:szCs w:val="24"/>
                    </w:rPr>
                    <w:t>RASHODI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- </w:t>
                  </w:r>
                  <w:r w:rsidRPr="008F75FE">
                    <w:rPr>
                      <w:rFonts w:ascii="Arial" w:hAnsi="Arial" w:cs="Arial"/>
                      <w:szCs w:val="24"/>
                    </w:rPr>
                    <w:t>RASHODI POSLOVANJA (3)</w:t>
                  </w:r>
                </w:p>
                <w:p w14:paraId="3F36DB95" w14:textId="646551F0" w:rsidR="008F75FE" w:rsidRPr="008F75FE" w:rsidRDefault="008F75FE" w:rsidP="008F75FE">
                  <w:pPr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Rashodi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poslovanja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Osnovne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škole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Vladimira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Nazora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planirani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2025.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godinu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u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iznosu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3.429.300,00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eura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, a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Izmjenama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dopunama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financijskog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plana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povećani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425.567,55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lastRenderedPageBreak/>
                    <w:t>eura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što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se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najvećim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dijelom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odnosi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rashode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zaposlene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materijalne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rashode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naknade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građanima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kućanstvima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14:paraId="3692CBE1" w14:textId="77777777" w:rsidR="008F75FE" w:rsidRPr="008F75FE" w:rsidRDefault="008F75FE" w:rsidP="008F75FE">
                  <w:pPr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Rashodi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zaposlene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(31)</w:t>
                  </w:r>
                </w:p>
                <w:p w14:paraId="125253D6" w14:textId="1E05436C" w:rsidR="008F75FE" w:rsidRPr="008F75FE" w:rsidRDefault="008F75FE" w:rsidP="008F75FE">
                  <w:pPr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Rashodi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zaposlene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povećani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146.300,00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eura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zbog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povećanja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osnovice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</w:t>
                  </w:r>
                  <w:proofErr w:type="spellStart"/>
                  <w:proofErr w:type="gramStart"/>
                  <w:r w:rsidRPr="008F75FE">
                    <w:rPr>
                      <w:rFonts w:ascii="Arial" w:hAnsi="Arial" w:cs="Arial"/>
                      <w:szCs w:val="24"/>
                    </w:rPr>
                    <w:t>izračun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bruto</w:t>
                  </w:r>
                  <w:proofErr w:type="spellEnd"/>
                  <w:proofErr w:type="gram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plaća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zaposlenika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materijalnih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prava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zaposlenika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koje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se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isplaćuju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iz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državnog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proračuna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te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povećanja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iznosa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bruto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plaće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učiteljima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u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produženom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boravku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zbog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ukidanja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konta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kontinuiranih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rashoda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prema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novom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Pravilniku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o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proračunskom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računovodstvu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14:paraId="7B6704CB" w14:textId="77777777" w:rsidR="008F75FE" w:rsidRPr="008F75FE" w:rsidRDefault="008F75FE" w:rsidP="008F75FE">
                  <w:pPr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Materijalni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rashodi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(32)</w:t>
                  </w:r>
                </w:p>
                <w:p w14:paraId="3A2FC799" w14:textId="77777777" w:rsidR="008F75FE" w:rsidRPr="008F75FE" w:rsidRDefault="008F75FE" w:rsidP="008F75FE">
                  <w:pPr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Materijalni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rashodi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povećani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215.496,11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eura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što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se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najvećim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8F75FE">
                    <w:rPr>
                      <w:rFonts w:ascii="Arial" w:hAnsi="Arial" w:cs="Arial"/>
                      <w:szCs w:val="24"/>
                    </w:rPr>
                    <w:t>dijelom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odnosi</w:t>
                  </w:r>
                  <w:proofErr w:type="spellEnd"/>
                  <w:proofErr w:type="gram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povećanje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usluga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komunikaciju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prijevoz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učenika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te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seminare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savjetovanja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simpozije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vezane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uz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projekt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Erasmus +.</w:t>
                  </w:r>
                </w:p>
                <w:p w14:paraId="33B01AF2" w14:textId="4AF85AE7" w:rsidR="008F75FE" w:rsidRPr="008F75FE" w:rsidRDefault="008F75FE" w:rsidP="008F75FE">
                  <w:pPr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Financijski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rashodi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(34</w:t>
                  </w:r>
                  <w:proofErr w:type="gramStart"/>
                  <w:r w:rsidRPr="008F75FE">
                    <w:rPr>
                      <w:rFonts w:ascii="Arial" w:hAnsi="Arial" w:cs="Arial"/>
                      <w:szCs w:val="24"/>
                    </w:rPr>
                    <w:t xml:space="preserve">) 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planirani</w:t>
                  </w:r>
                  <w:proofErr w:type="spellEnd"/>
                  <w:proofErr w:type="gramEnd"/>
                  <w:r w:rsidRPr="008F75FE">
                    <w:rPr>
                      <w:rFonts w:ascii="Arial" w:hAnsi="Arial" w:cs="Arial"/>
                      <w:szCs w:val="24"/>
                    </w:rPr>
                    <w:t xml:space="preserve"> u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iznosu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od 50,00 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eura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ostale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zatezne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kamate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ostali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nepromijenjeni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14:paraId="40CC1E91" w14:textId="34C43380" w:rsidR="008F75FE" w:rsidRPr="008F75FE" w:rsidRDefault="008F75FE" w:rsidP="008F75FE">
                  <w:pPr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Naknade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građanima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kućanstvima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temelju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osiguranja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druge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naknade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(37)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planirani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u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iznosu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od 35.000,00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eura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nabavu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radnih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udžbenika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sve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učenike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škole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povećani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65.000,00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eura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zbog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nabave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dodatnih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obrazovnih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materijala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sve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učenike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(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radnih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bilježnica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)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iz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gradskog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proračuna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14:paraId="0D28EA98" w14:textId="65F87856" w:rsidR="008F75FE" w:rsidRPr="008F75FE" w:rsidRDefault="008F75FE" w:rsidP="008F75FE">
                  <w:pPr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Ostali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rashodi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(38</w:t>
                  </w:r>
                  <w:proofErr w:type="gramStart"/>
                  <w:r w:rsidRPr="008F75FE">
                    <w:rPr>
                      <w:rFonts w:ascii="Arial" w:hAnsi="Arial" w:cs="Arial"/>
                      <w:szCs w:val="24"/>
                    </w:rPr>
                    <w:t xml:space="preserve">) 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planirani</w:t>
                  </w:r>
                  <w:proofErr w:type="spellEnd"/>
                  <w:proofErr w:type="gramEnd"/>
                  <w:r w:rsidRPr="008F75FE">
                    <w:rPr>
                      <w:rFonts w:ascii="Arial" w:hAnsi="Arial" w:cs="Arial"/>
                      <w:szCs w:val="24"/>
                    </w:rPr>
                    <w:t xml:space="preserve"> u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iznosu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od 1.500,00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eura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ostale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tekuće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donacije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u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naravi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nabavu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higijenskih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potrepština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učenice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povećani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25,50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eura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zbog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usklađivanja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ostvarenim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iznosom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14:paraId="5BCC018A" w14:textId="082D55FC" w:rsidR="008F75FE" w:rsidRPr="008F75FE" w:rsidRDefault="008F75FE" w:rsidP="008F75FE">
                  <w:pPr>
                    <w:rPr>
                      <w:rFonts w:ascii="Arial" w:hAnsi="Arial" w:cs="Arial"/>
                      <w:szCs w:val="24"/>
                    </w:rPr>
                  </w:pPr>
                  <w:r w:rsidRPr="008F75FE">
                    <w:rPr>
                      <w:rFonts w:ascii="Arial" w:hAnsi="Arial" w:cs="Arial"/>
                      <w:szCs w:val="24"/>
                    </w:rPr>
                    <w:t>RASHODI ZA NABAVU NEFINANCIJSKE IMOVINE (4)</w:t>
                  </w:r>
                </w:p>
                <w:p w14:paraId="3C63FF59" w14:textId="77777777" w:rsidR="008F75FE" w:rsidRPr="008F75FE" w:rsidRDefault="008F75FE" w:rsidP="008F75FE">
                  <w:pPr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Rashodi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nabavu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nefinancijske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imovine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obuhvaćaju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rashode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nabavu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proizvedene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dugotrajne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imovine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rashode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dodatna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ulaganja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nefinancijskoj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imovini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, za 2025.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godinu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planirani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u </w:t>
                  </w:r>
                  <w:proofErr w:type="spellStart"/>
                  <w:proofErr w:type="gramStart"/>
                  <w:r w:rsidRPr="008F75FE">
                    <w:rPr>
                      <w:rFonts w:ascii="Arial" w:hAnsi="Arial" w:cs="Arial"/>
                      <w:szCs w:val="24"/>
                    </w:rPr>
                    <w:t>iznosu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 65.300</w:t>
                  </w:r>
                  <w:proofErr w:type="gramEnd"/>
                  <w:r w:rsidRPr="008F75FE">
                    <w:rPr>
                      <w:rFonts w:ascii="Arial" w:hAnsi="Arial" w:cs="Arial"/>
                      <w:szCs w:val="24"/>
                    </w:rPr>
                    <w:t xml:space="preserve">,00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eura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, a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ovim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Izmjenama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dopunama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smanjeni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1.254,06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eura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što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se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najvećim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dijelom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odnosi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rashode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dodatna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ulaganja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nefinancijskoj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imovini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14:paraId="53E7C2E4" w14:textId="77777777" w:rsidR="008F75FE" w:rsidRPr="008F75FE" w:rsidRDefault="008F75FE" w:rsidP="008F75FE">
                  <w:pPr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Rashodi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nabavu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proizvedene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dugotrajne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imovine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(42)</w:t>
                  </w:r>
                </w:p>
                <w:p w14:paraId="2FCA8EDF" w14:textId="4E4856C0" w:rsidR="008F75FE" w:rsidRPr="008F75FE" w:rsidRDefault="008F75FE" w:rsidP="008F75FE">
                  <w:pPr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Rashodi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nabavu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proizvedene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dugotrajne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imovine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planirani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u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iznosu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od 29.800,00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eura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povećani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6.605,18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eura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što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se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najvećim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dijelom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odnosi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rashode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nabavu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računalne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opreme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14:paraId="08D7CAAC" w14:textId="77777777" w:rsidR="008F75FE" w:rsidRPr="008F75FE" w:rsidRDefault="008F75FE" w:rsidP="008F75FE">
                  <w:pPr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Rashodi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dodatna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ulaganja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nefinancijskoj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imovini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(45)</w:t>
                  </w:r>
                </w:p>
                <w:p w14:paraId="5225F8F8" w14:textId="60F8BCB6" w:rsidR="008F75FE" w:rsidRPr="008F75FE" w:rsidRDefault="008F75FE" w:rsidP="008F75FE">
                  <w:pPr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Rashodi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dodatna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ulaganja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nefinancijskoj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imovini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planirani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u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iznosu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od 35.500,00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eura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smanjeni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7.859,24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eura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šte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se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odnosi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radove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građevinskim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objektima</w:t>
                  </w:r>
                  <w:proofErr w:type="spellEnd"/>
                </w:p>
                <w:p w14:paraId="7C7B460A" w14:textId="4834D20D" w:rsidR="008F75FE" w:rsidRPr="008F75FE" w:rsidRDefault="008F75FE" w:rsidP="008F75FE">
                  <w:pPr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Obrazloženje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prenesenog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viška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ili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manjka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iz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2024.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godine</w:t>
                  </w:r>
                  <w:proofErr w:type="spellEnd"/>
                </w:p>
                <w:p w14:paraId="07AB4747" w14:textId="2D6B0F72" w:rsidR="008F75FE" w:rsidRPr="008F75FE" w:rsidRDefault="008F75FE" w:rsidP="008F75FE">
                  <w:pPr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Izmjenama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dopunama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financijski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plan za 2025.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godinu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uravnotežen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je, </w:t>
                  </w:r>
                  <w:proofErr w:type="gramStart"/>
                  <w:r w:rsidRPr="008F75FE">
                    <w:rPr>
                      <w:rFonts w:ascii="Arial" w:hAnsi="Arial" w:cs="Arial"/>
                      <w:szCs w:val="24"/>
                    </w:rPr>
                    <w:t xml:space="preserve">a 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preneseni</w:t>
                  </w:r>
                  <w:proofErr w:type="spellEnd"/>
                  <w:proofErr w:type="gramEnd"/>
                  <w:r w:rsidRPr="008F75FE">
                    <w:rPr>
                      <w:rFonts w:ascii="Arial" w:hAnsi="Arial" w:cs="Arial"/>
                      <w:szCs w:val="24"/>
                    </w:rPr>
                    <w:t xml:space="preserve"> 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višak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iz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2024.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godine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uključen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je u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Izmjene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i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dopune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financijskog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plana u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iznosu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od 11.877,39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eura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14:paraId="29803D58" w14:textId="7F3C5044" w:rsidR="008F75FE" w:rsidRPr="008F75FE" w:rsidRDefault="008F75FE" w:rsidP="008F75FE">
                  <w:pPr>
                    <w:rPr>
                      <w:rFonts w:ascii="Arial" w:hAnsi="Arial" w:cs="Arial"/>
                      <w:szCs w:val="24"/>
                    </w:rPr>
                  </w:pPr>
                  <w:r w:rsidRPr="008F75FE">
                    <w:rPr>
                      <w:rFonts w:ascii="Arial" w:hAnsi="Arial" w:cs="Arial"/>
                      <w:szCs w:val="24"/>
                    </w:rPr>
                    <w:lastRenderedPageBreak/>
                    <w:t>B) OBRAZLOŽENJE POSEBNOG DIJELA IZMJENA I DOPUNA FINANCIJSKOG PLANA ZA 2023.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8F75FE">
                    <w:rPr>
                      <w:rFonts w:ascii="Arial" w:hAnsi="Arial" w:cs="Arial"/>
                      <w:szCs w:val="24"/>
                    </w:rPr>
                    <w:t>GODINU</w:t>
                  </w:r>
                </w:p>
                <w:p w14:paraId="56E8A220" w14:textId="47E04853" w:rsidR="008F75FE" w:rsidRPr="008F75FE" w:rsidRDefault="008F75FE" w:rsidP="008F75FE">
                  <w:pPr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Planirani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rashodi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u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okviru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programa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3201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Osnovnoškolsko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obrazovanje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u OŠ Vladimir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Nazor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Križevci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raspoređeni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po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aktivnostima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izvorima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kako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slijede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: </w:t>
                  </w:r>
                </w:p>
                <w:p w14:paraId="6946C9E6" w14:textId="0243694E" w:rsidR="008F75FE" w:rsidRPr="008F75FE" w:rsidRDefault="008F75FE" w:rsidP="008F75FE">
                  <w:pPr>
                    <w:rPr>
                      <w:rFonts w:ascii="Arial" w:hAnsi="Arial" w:cs="Arial"/>
                      <w:szCs w:val="24"/>
                    </w:rPr>
                  </w:pPr>
                  <w:r w:rsidRPr="008F75FE">
                    <w:rPr>
                      <w:rFonts w:ascii="Arial" w:hAnsi="Arial" w:cs="Arial"/>
                      <w:szCs w:val="24"/>
                    </w:rPr>
                    <w:t xml:space="preserve">AKTIVNOST A320201 – RASHODI ZAKONSKOG STANDARDA </w:t>
                  </w:r>
                </w:p>
                <w:p w14:paraId="68F9B0EC" w14:textId="6F2B7DF2" w:rsidR="008F75FE" w:rsidRPr="008F75FE" w:rsidRDefault="008F75FE" w:rsidP="008F75FE">
                  <w:pPr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Ukupni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rashodi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zakonskog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standarda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planirani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2025.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godinu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u </w:t>
                  </w:r>
                  <w:proofErr w:type="spellStart"/>
                  <w:proofErr w:type="gramStart"/>
                  <w:r w:rsidRPr="008F75FE">
                    <w:rPr>
                      <w:rFonts w:ascii="Arial" w:hAnsi="Arial" w:cs="Arial"/>
                      <w:szCs w:val="24"/>
                    </w:rPr>
                    <w:t>iznosu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 277.000</w:t>
                  </w:r>
                  <w:proofErr w:type="gramEnd"/>
                  <w:r w:rsidRPr="008F75FE">
                    <w:rPr>
                      <w:rFonts w:ascii="Arial" w:hAnsi="Arial" w:cs="Arial"/>
                      <w:szCs w:val="24"/>
                    </w:rPr>
                    <w:t xml:space="preserve">,00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eura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smanjeni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iznos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od 19.084,00 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eura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zbog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usklađivanja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odobrenih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sredstava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decentralizirane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funkcije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osnovnog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školstva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14:paraId="3A6F5A2C" w14:textId="728B97FC" w:rsidR="008F75FE" w:rsidRPr="008F75FE" w:rsidRDefault="008F75FE" w:rsidP="008F75FE">
                  <w:pPr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Aktivnost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Rashodi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zakonskog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standarda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obuhvaća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rashode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decentralizirane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funkcije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osnovnog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školstva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koji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posebnim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zakonom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preneseni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jedinice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lokalne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područne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(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regionalne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)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samouprave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, a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financiraju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se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iz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dodatnog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udjela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u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porezu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dohodak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i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pomoći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izravnanja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decentralizirane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funkcije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. 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Ovdje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planirani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materijalni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rashodi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(</w:t>
                  </w:r>
                  <w:proofErr w:type="spellStart"/>
                  <w:proofErr w:type="gramStart"/>
                  <w:r w:rsidRPr="008F75FE">
                    <w:rPr>
                      <w:rFonts w:ascii="Arial" w:hAnsi="Arial" w:cs="Arial"/>
                      <w:szCs w:val="24"/>
                    </w:rPr>
                    <w:t>službena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putovanja</w:t>
                  </w:r>
                  <w:proofErr w:type="spellEnd"/>
                  <w:proofErr w:type="gramEnd"/>
                  <w:r w:rsidRPr="008F75FE"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materijal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energija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usluge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tekućeg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investicijskog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održavanja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ostali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rashodi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te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kapitalna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ulaganja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u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računala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računalnu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opremu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uredski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namještaj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knjige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knjižnicu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te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dodatna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ulaganja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građevinskim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objektima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. 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Ovim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izmjenama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dopunama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planirani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rashodi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smanjeni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19.084,00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eura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što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se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odnosi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8F75FE">
                    <w:rPr>
                      <w:rFonts w:ascii="Arial" w:hAnsi="Arial" w:cs="Arial"/>
                      <w:szCs w:val="24"/>
                    </w:rPr>
                    <w:t>na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materijalne</w:t>
                  </w:r>
                  <w:proofErr w:type="spellEnd"/>
                  <w:proofErr w:type="gram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rashode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koji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smanjeni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13.227,00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eura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dok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kapitalna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ulaganja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smanjena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5.857,00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eura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.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Izmjene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izvršene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8F75FE">
                    <w:rPr>
                      <w:rFonts w:ascii="Arial" w:hAnsi="Arial" w:cs="Arial"/>
                      <w:szCs w:val="24"/>
                    </w:rPr>
                    <w:t>zbog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usklađivanja</w:t>
                  </w:r>
                  <w:proofErr w:type="spellEnd"/>
                  <w:proofErr w:type="gram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odobrenih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sredstava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decentralizirane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funkcije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osnovnog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školstva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uključivanja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prenesenog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rezultata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iz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prethodne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godine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14:paraId="11F05B2C" w14:textId="7052A50A" w:rsidR="008F75FE" w:rsidRPr="008F75FE" w:rsidRDefault="008F75FE" w:rsidP="008F75FE">
                  <w:pPr>
                    <w:rPr>
                      <w:rFonts w:ascii="Arial" w:hAnsi="Arial" w:cs="Arial"/>
                      <w:szCs w:val="24"/>
                    </w:rPr>
                  </w:pPr>
                  <w:r w:rsidRPr="008F75FE">
                    <w:rPr>
                      <w:rFonts w:ascii="Arial" w:hAnsi="Arial" w:cs="Arial"/>
                      <w:szCs w:val="24"/>
                    </w:rPr>
                    <w:t xml:space="preserve">AKTIVNOST A320202 – RASHODI IZNAD ZAKONSKOG STANDARDA </w:t>
                  </w:r>
                </w:p>
                <w:p w14:paraId="4CE65643" w14:textId="77777777" w:rsidR="008F75FE" w:rsidRPr="008F75FE" w:rsidRDefault="008F75FE" w:rsidP="008F75FE">
                  <w:pPr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Aktivnost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Rashodi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iznad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zakonskog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standarda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obuhvaća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preostale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rashode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potrebne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obavljanje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redovne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odgojno-obrazovne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djelatnosti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škole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-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rashode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zaposlene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, koji se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financiraju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iz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državnog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proračuna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materijalne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rashode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rashode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nefinancijsku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imovinu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drugo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koji se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dodatno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financiraju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iz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gradskog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proračuna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uplata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roditelja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vlastitih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prihoda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donacija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drugih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izvora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14:paraId="3B8839C8" w14:textId="77777777" w:rsidR="008F75FE" w:rsidRPr="008F75FE" w:rsidRDefault="008F75FE" w:rsidP="008F75FE">
                  <w:pPr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Opći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prihodi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primici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planirani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2025.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godinu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u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iznosu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od 195.500,00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eura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, a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ovim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Izmjenama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8F75FE">
                    <w:rPr>
                      <w:rFonts w:ascii="Arial" w:hAnsi="Arial" w:cs="Arial"/>
                      <w:szCs w:val="24"/>
                    </w:rPr>
                    <w:t>dopunama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povećani</w:t>
                  </w:r>
                  <w:proofErr w:type="spellEnd"/>
                  <w:proofErr w:type="gram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236.050,00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eura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materijalne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rashode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(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prijevoz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učenika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)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ostale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naknade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iz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proračuna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u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naravi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(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radne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bilježnice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učenike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)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plaće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u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produženom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boravku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14:paraId="741D87A4" w14:textId="77777777" w:rsidR="008F75FE" w:rsidRPr="008F75FE" w:rsidRDefault="008F75FE" w:rsidP="008F75FE">
                  <w:pPr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Rashodi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od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vlastitih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prihoda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planirani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u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iznosu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od 5.000,00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eura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2025.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godinu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, a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ovim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izmjenama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8F75FE">
                    <w:rPr>
                      <w:rFonts w:ascii="Arial" w:hAnsi="Arial" w:cs="Arial"/>
                      <w:szCs w:val="24"/>
                    </w:rPr>
                    <w:t>dopunama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povećani</w:t>
                  </w:r>
                  <w:proofErr w:type="spellEnd"/>
                  <w:proofErr w:type="gram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6.283,00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eura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zbog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prenesenog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rezultata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iz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2024.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godine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14:paraId="2BE9A48D" w14:textId="77777777" w:rsidR="008F75FE" w:rsidRPr="008F75FE" w:rsidRDefault="008F75FE" w:rsidP="008F75FE">
                  <w:pPr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Rashodi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po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posebnim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propisima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planirani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u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iznosu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od 22.500,00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eura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obuhvaćaju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nabavu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materijala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koji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vezani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uz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školsku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prehranu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sufinanciranu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uplatama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roditelja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prehranu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produženi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boravak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povećani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8.874,49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eura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zbog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prenesenog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rezultata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iz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prethodne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godine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14:paraId="3D5A865F" w14:textId="77777777" w:rsidR="008F75FE" w:rsidRPr="008F75FE" w:rsidRDefault="008F75FE" w:rsidP="008F75FE">
                  <w:pPr>
                    <w:rPr>
                      <w:rFonts w:ascii="Arial" w:hAnsi="Arial" w:cs="Arial"/>
                      <w:szCs w:val="24"/>
                    </w:rPr>
                  </w:pPr>
                  <w:r w:rsidRPr="008F75FE">
                    <w:rPr>
                      <w:rFonts w:ascii="Arial" w:hAnsi="Arial" w:cs="Arial"/>
                      <w:szCs w:val="24"/>
                    </w:rPr>
                    <w:t xml:space="preserve">Na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ovom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izvoru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iskazuju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se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prihodi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s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naslova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osiguranja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refundacije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štete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, a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rashodi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ovim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Izmjenama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8F75FE">
                    <w:rPr>
                      <w:rFonts w:ascii="Arial" w:hAnsi="Arial" w:cs="Arial"/>
                      <w:szCs w:val="24"/>
                    </w:rPr>
                    <w:t>dopunama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povećani</w:t>
                  </w:r>
                  <w:proofErr w:type="spellEnd"/>
                  <w:proofErr w:type="gramEnd"/>
                  <w:r w:rsidRPr="008F75FE">
                    <w:rPr>
                      <w:rFonts w:ascii="Arial" w:hAnsi="Arial" w:cs="Arial"/>
                      <w:szCs w:val="24"/>
                    </w:rPr>
                    <w:t xml:space="preserve">  za 1.389,16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eura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zbog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 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prenesenog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rezultata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s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naslova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osiguranja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refundacije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štete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od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osiguravajuće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kuće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14:paraId="54E1B97C" w14:textId="77777777" w:rsidR="008F75FE" w:rsidRPr="008F75FE" w:rsidRDefault="008F75FE" w:rsidP="008F75FE">
                  <w:pPr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Rashodi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koji se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financiraju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od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prihoda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iz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drugih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proračuna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te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ostalih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subjekata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unutar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općeg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8F75FE">
                    <w:rPr>
                      <w:rFonts w:ascii="Arial" w:hAnsi="Arial" w:cs="Arial"/>
                      <w:szCs w:val="24"/>
                    </w:rPr>
                    <w:t>proračuna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planirana</w:t>
                  </w:r>
                  <w:proofErr w:type="spellEnd"/>
                  <w:proofErr w:type="gramEnd"/>
                  <w:r w:rsidRPr="008F75FE">
                    <w:rPr>
                      <w:rFonts w:ascii="Arial" w:hAnsi="Arial" w:cs="Arial"/>
                      <w:szCs w:val="24"/>
                    </w:rPr>
                    <w:t xml:space="preserve"> u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iznosu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od 2.763.000,00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eura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povećana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iznos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144.781,71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eura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.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lastRenderedPageBreak/>
                    <w:t>Povećanje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najvećim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dijelom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8F75FE">
                    <w:rPr>
                      <w:rFonts w:ascii="Arial" w:hAnsi="Arial" w:cs="Arial"/>
                      <w:szCs w:val="24"/>
                    </w:rPr>
                    <w:t>obuhvaća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rashode</w:t>
                  </w:r>
                  <w:proofErr w:type="spellEnd"/>
                  <w:proofErr w:type="gram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zaposlene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zbog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povećanja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bruto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plaća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materijalnih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naknada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14:paraId="7295B51E" w14:textId="77777777" w:rsidR="008F75FE" w:rsidRPr="008F75FE" w:rsidRDefault="008F75FE" w:rsidP="008F75FE">
                  <w:pPr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Sredstva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donacija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planirana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u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iznosu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od 5.000,00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eura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povećana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523,25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eura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zbog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prenesenog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rezultata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14:paraId="0FF0F3F6" w14:textId="2D9272A3" w:rsidR="008F75FE" w:rsidRPr="008F75FE" w:rsidRDefault="008F75FE" w:rsidP="008F75FE">
                  <w:pPr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Rashodi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koji se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financiraju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iz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prihoda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od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prodaje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imovine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planirani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u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iznosu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od 500,00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eura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povećani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563,10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eura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zbog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prenesenog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rezultata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pokrivanje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troškova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tekućeg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investicijskog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održavanja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nabavu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računala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14:paraId="29CBD5BF" w14:textId="77777777" w:rsidR="008F75FE" w:rsidRPr="008F75FE" w:rsidRDefault="008F75FE" w:rsidP="008F75FE">
                  <w:pPr>
                    <w:rPr>
                      <w:rFonts w:ascii="Arial" w:hAnsi="Arial" w:cs="Arial"/>
                      <w:szCs w:val="24"/>
                    </w:rPr>
                  </w:pPr>
                  <w:r w:rsidRPr="008F75FE">
                    <w:rPr>
                      <w:rFonts w:ascii="Arial" w:hAnsi="Arial" w:cs="Arial"/>
                      <w:szCs w:val="24"/>
                    </w:rPr>
                    <w:t xml:space="preserve">AKTIVNOST A320208 ERASMUS + </w:t>
                  </w:r>
                </w:p>
                <w:p w14:paraId="57AFE887" w14:textId="66449062" w:rsidR="008F75FE" w:rsidRPr="008F75FE" w:rsidRDefault="008F75FE" w:rsidP="008F75FE">
                  <w:pPr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Planirani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rashodi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aktivnost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Erasmus +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povećani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40.686,84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eura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zbog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odobrenih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sredstva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provedbu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Erasmus+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projekta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razdoblje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2025/2027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godine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.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Cilj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projekta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je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implementirati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znanja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stečena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strukturiranim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tečajevima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u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školski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kurikulum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kroz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izvannastavne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aktivnosti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redovnu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nastavu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. </w:t>
                  </w:r>
                </w:p>
                <w:p w14:paraId="12786D25" w14:textId="77777777" w:rsidR="008F75FE" w:rsidRPr="008F75FE" w:rsidRDefault="008F75FE" w:rsidP="008F75FE">
                  <w:pPr>
                    <w:rPr>
                      <w:rFonts w:ascii="Arial" w:hAnsi="Arial" w:cs="Arial"/>
                      <w:szCs w:val="24"/>
                    </w:rPr>
                  </w:pPr>
                  <w:r w:rsidRPr="008F75FE">
                    <w:rPr>
                      <w:rFonts w:ascii="Arial" w:hAnsi="Arial" w:cs="Arial"/>
                      <w:szCs w:val="24"/>
                    </w:rPr>
                    <w:t xml:space="preserve">AKTIVNOST A320224 POMOZIMO JEDNI DRUGIMA </w:t>
                  </w:r>
                </w:p>
                <w:p w14:paraId="63361697" w14:textId="6F63F024" w:rsidR="008F75FE" w:rsidRPr="008F75FE" w:rsidRDefault="008F75FE" w:rsidP="008F75FE">
                  <w:pPr>
                    <w:rPr>
                      <w:rFonts w:ascii="Arial" w:hAnsi="Arial" w:cs="Arial"/>
                      <w:szCs w:val="24"/>
                    </w:rPr>
                  </w:pPr>
                  <w:r w:rsidRPr="008F75FE">
                    <w:rPr>
                      <w:rFonts w:ascii="Arial" w:hAnsi="Arial" w:cs="Arial"/>
                      <w:szCs w:val="24"/>
                    </w:rPr>
                    <w:t xml:space="preserve">U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okviru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aktivnosti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Pomozimo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jedni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drugima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VII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zaposleno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je </w:t>
                  </w:r>
                  <w:proofErr w:type="spellStart"/>
                  <w:proofErr w:type="gramStart"/>
                  <w:r w:rsidRPr="008F75FE">
                    <w:rPr>
                      <w:rFonts w:ascii="Arial" w:hAnsi="Arial" w:cs="Arial"/>
                      <w:szCs w:val="24"/>
                    </w:rPr>
                    <w:t>devet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pomoćnika</w:t>
                  </w:r>
                  <w:proofErr w:type="spellEnd"/>
                  <w:proofErr w:type="gramEnd"/>
                  <w:r w:rsidRPr="008F75FE">
                    <w:rPr>
                      <w:rFonts w:ascii="Arial" w:hAnsi="Arial" w:cs="Arial"/>
                      <w:szCs w:val="24"/>
                    </w:rPr>
                    <w:t xml:space="preserve"> u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nastavi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ciljem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da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pomažu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učenicima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kojima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je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potrebna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pomoć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prilikom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izvođenja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nastave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, u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školskoj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kuhinji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izletima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ostalim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školskim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aktivnostima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. U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okviru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ove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aktivnosti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planirani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rashodi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zaposlene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materijalni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rashodi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u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ukupnom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iznosu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od 145.100,00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eura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14:paraId="2D0D9804" w14:textId="77777777" w:rsidR="008F75FE" w:rsidRPr="008F75FE" w:rsidRDefault="008F75FE" w:rsidP="008F75FE">
                  <w:pPr>
                    <w:rPr>
                      <w:rFonts w:ascii="Arial" w:hAnsi="Arial" w:cs="Arial"/>
                      <w:szCs w:val="24"/>
                    </w:rPr>
                  </w:pPr>
                  <w:r w:rsidRPr="008F75FE">
                    <w:rPr>
                      <w:rFonts w:ascii="Arial" w:hAnsi="Arial" w:cs="Arial"/>
                      <w:szCs w:val="24"/>
                    </w:rPr>
                    <w:t xml:space="preserve">AKTIVNOST ŠKOLSKA SHEMA </w:t>
                  </w:r>
                </w:p>
                <w:p w14:paraId="55D524BF" w14:textId="01E6D9A5" w:rsidR="008F75FE" w:rsidRDefault="008F75FE" w:rsidP="008F75FE">
                  <w:pPr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Aktivnost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Školska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shema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odnosi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se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nabavu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voća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voćnih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sokova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mlijeka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jogurta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8F75FE">
                    <w:rPr>
                      <w:rFonts w:ascii="Arial" w:hAnsi="Arial" w:cs="Arial"/>
                      <w:szCs w:val="24"/>
                    </w:rPr>
                    <w:t>financiranih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 EU</w:t>
                  </w:r>
                  <w:proofErr w:type="gram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sredstvima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od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strane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Agencije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za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plaćanja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u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poljoprivredi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, a za 2025.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godinu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planirano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je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ukupno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6.200,00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eura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.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Cilj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ove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aktivnosti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je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osigurati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kvalitetniju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zdraviju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prehranu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djece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osnovnoškolske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dobi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te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potaknuti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kod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djece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navike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konzumiranja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voća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proofErr w:type="gramStart"/>
                  <w:r w:rsidRPr="008F75FE">
                    <w:rPr>
                      <w:rFonts w:ascii="Arial" w:hAnsi="Arial" w:cs="Arial"/>
                      <w:szCs w:val="24"/>
                    </w:rPr>
                    <w:t>mlijeka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proofErr w:type="gram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mliječnih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proizvoda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.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Pokazatelj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uspješnosti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je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uključenost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svih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učenika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u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projekt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gramStart"/>
                  <w:r w:rsidRPr="008F75FE">
                    <w:rPr>
                      <w:rFonts w:ascii="Arial" w:hAnsi="Arial" w:cs="Arial"/>
                      <w:szCs w:val="24"/>
                    </w:rPr>
                    <w:t>( 652</w:t>
                  </w:r>
                  <w:proofErr w:type="gram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djece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), od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prvog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do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osmog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razreda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, u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matičnoj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područnim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8F75FE">
                    <w:rPr>
                      <w:rFonts w:ascii="Arial" w:hAnsi="Arial" w:cs="Arial"/>
                      <w:szCs w:val="24"/>
                    </w:rPr>
                    <w:t>školama</w:t>
                  </w:r>
                  <w:proofErr w:type="spellEnd"/>
                  <w:r w:rsidRPr="008F75FE">
                    <w:rPr>
                      <w:rFonts w:ascii="Arial" w:hAnsi="Arial" w:cs="Arial"/>
                      <w:szCs w:val="24"/>
                    </w:rPr>
                    <w:t xml:space="preserve">.  </w:t>
                  </w:r>
                </w:p>
                <w:p w14:paraId="7B4531D8" w14:textId="10383EF9" w:rsidR="00B726EA" w:rsidRDefault="008F75FE" w:rsidP="008F75FE">
                  <w:pPr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Svoj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glas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za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sve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točke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dnevnog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reda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dali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su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svi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članovi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Školskog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odbora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zaključno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15,00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sata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14:paraId="6C71F1BC" w14:textId="3B44EE10" w:rsidR="00B726EA" w:rsidRPr="0064284A" w:rsidRDefault="00B726EA" w:rsidP="00653D5C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Sjednica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završila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u 15,00.</w:t>
                  </w:r>
                </w:p>
                <w:p w14:paraId="6A53BD3E" w14:textId="77777777" w:rsidR="00B726EA" w:rsidRPr="0064284A" w:rsidRDefault="00B726EA" w:rsidP="00653D5C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  <w:p w14:paraId="298FEEC8" w14:textId="32CA4EBC" w:rsidR="00B726EA" w:rsidRPr="0064284A" w:rsidRDefault="00B726EA" w:rsidP="00653D5C">
                  <w:pPr>
                    <w:tabs>
                      <w:tab w:val="left" w:pos="2060"/>
                      <w:tab w:val="center" w:pos="4690"/>
                    </w:tabs>
                    <w:ind w:right="540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64284A">
                    <w:rPr>
                      <w:rFonts w:ascii="Arial" w:hAnsi="Arial" w:cs="Arial"/>
                      <w:color w:val="000000"/>
                      <w:szCs w:val="24"/>
                      <w:lang w:val="x-none"/>
                    </w:rPr>
                    <w:t>KLASA:</w:t>
                  </w:r>
                  <w:r w:rsidRPr="0064284A">
                    <w:rPr>
                      <w:rFonts w:ascii="Arial" w:hAnsi="Arial" w:cs="Arial"/>
                      <w:color w:val="000000"/>
                      <w:szCs w:val="24"/>
                      <w:bdr w:val="none" w:sz="0" w:space="0" w:color="auto" w:frame="1"/>
                    </w:rPr>
                    <w:t xml:space="preserve"> 007-04/2</w:t>
                  </w:r>
                  <w:r>
                    <w:rPr>
                      <w:rFonts w:ascii="Arial" w:hAnsi="Arial" w:cs="Arial"/>
                      <w:color w:val="000000"/>
                      <w:szCs w:val="24"/>
                      <w:bdr w:val="none" w:sz="0" w:space="0" w:color="auto" w:frame="1"/>
                    </w:rPr>
                    <w:t>5</w:t>
                  </w:r>
                  <w:r w:rsidRPr="0064284A">
                    <w:rPr>
                      <w:rFonts w:ascii="Arial" w:hAnsi="Arial" w:cs="Arial"/>
                      <w:color w:val="000000"/>
                      <w:szCs w:val="24"/>
                      <w:bdr w:val="none" w:sz="0" w:space="0" w:color="auto" w:frame="1"/>
                    </w:rPr>
                    <w:t>-02/</w:t>
                  </w:r>
                  <w:r>
                    <w:rPr>
                      <w:rFonts w:ascii="Arial" w:hAnsi="Arial" w:cs="Arial"/>
                      <w:color w:val="000000"/>
                      <w:szCs w:val="24"/>
                      <w:bdr w:val="none" w:sz="0" w:space="0" w:color="auto" w:frame="1"/>
                    </w:rPr>
                    <w:t>04</w:t>
                  </w:r>
                  <w:r w:rsidRPr="0064284A">
                    <w:rPr>
                      <w:rFonts w:ascii="Arial" w:hAnsi="Arial" w:cs="Arial"/>
                      <w:color w:val="000000"/>
                      <w:szCs w:val="24"/>
                      <w:lang w:val="x-none"/>
                    </w:rPr>
                    <w:tab/>
                  </w:r>
                </w:p>
                <w:p w14:paraId="11C840C8" w14:textId="77777777" w:rsidR="00B726EA" w:rsidRPr="0064284A" w:rsidRDefault="00B726EA" w:rsidP="00653D5C">
                  <w:pPr>
                    <w:ind w:right="540"/>
                    <w:rPr>
                      <w:rFonts w:ascii="Arial" w:hAnsi="Arial" w:cs="Arial"/>
                      <w:color w:val="000000"/>
                      <w:szCs w:val="24"/>
                      <w:bdr w:val="none" w:sz="0" w:space="0" w:color="auto" w:frame="1"/>
                    </w:rPr>
                  </w:pPr>
                  <w:r w:rsidRPr="0064284A">
                    <w:rPr>
                      <w:rFonts w:ascii="Arial" w:hAnsi="Arial" w:cs="Arial"/>
                      <w:color w:val="000000"/>
                      <w:szCs w:val="24"/>
                      <w:lang w:val="x-none"/>
                    </w:rPr>
                    <w:t xml:space="preserve">URBROJ: </w:t>
                  </w:r>
                  <w:r w:rsidRPr="0064284A">
                    <w:rPr>
                      <w:rFonts w:ascii="Arial" w:hAnsi="Arial" w:cs="Arial"/>
                      <w:color w:val="000000"/>
                      <w:szCs w:val="24"/>
                      <w:bdr w:val="none" w:sz="0" w:space="0" w:color="auto" w:frame="1"/>
                    </w:rPr>
                    <w:t>2137-43-03-2</w:t>
                  </w:r>
                  <w:r>
                    <w:rPr>
                      <w:rFonts w:ascii="Arial" w:hAnsi="Arial" w:cs="Arial"/>
                      <w:color w:val="000000"/>
                      <w:szCs w:val="24"/>
                      <w:bdr w:val="none" w:sz="0" w:space="0" w:color="auto" w:frame="1"/>
                    </w:rPr>
                    <w:t>5</w:t>
                  </w:r>
                  <w:r w:rsidRPr="0064284A">
                    <w:rPr>
                      <w:rFonts w:ascii="Arial" w:hAnsi="Arial" w:cs="Arial"/>
                      <w:color w:val="000000"/>
                      <w:szCs w:val="24"/>
                      <w:bdr w:val="none" w:sz="0" w:space="0" w:color="auto" w:frame="1"/>
                    </w:rPr>
                    <w:t>-2</w:t>
                  </w:r>
                </w:p>
                <w:p w14:paraId="4A69EF21" w14:textId="4E16D67C" w:rsidR="00B726EA" w:rsidRPr="0064284A" w:rsidRDefault="00B726EA" w:rsidP="00653D5C">
                  <w:pPr>
                    <w:ind w:right="540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proofErr w:type="spellStart"/>
                  <w:r w:rsidRPr="0064284A">
                    <w:rPr>
                      <w:rFonts w:ascii="Arial" w:hAnsi="Arial" w:cs="Arial"/>
                      <w:color w:val="000000"/>
                      <w:szCs w:val="24"/>
                    </w:rPr>
                    <w:t>Križevci</w:t>
                  </w:r>
                  <w:proofErr w:type="spellEnd"/>
                  <w:r w:rsidRPr="0064284A">
                    <w:rPr>
                      <w:rFonts w:ascii="Arial" w:hAnsi="Arial" w:cs="Arial"/>
                      <w:color w:val="000000"/>
                      <w:szCs w:val="24"/>
                    </w:rPr>
                    <w:t xml:space="preserve">, 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</w:t>
                  </w:r>
                  <w:r w:rsidRPr="0064284A">
                    <w:rPr>
                      <w:rFonts w:ascii="Arial" w:hAnsi="Arial" w:cs="Arial"/>
                      <w:color w:val="000000"/>
                      <w:szCs w:val="24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Cs w:val="24"/>
                    </w:rPr>
                    <w:t>srpnja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r w:rsidRPr="0064284A">
                    <w:rPr>
                      <w:rFonts w:ascii="Arial" w:hAnsi="Arial" w:cs="Arial"/>
                      <w:color w:val="000000"/>
                      <w:szCs w:val="24"/>
                    </w:rPr>
                    <w:t xml:space="preserve">2025. </w:t>
                  </w:r>
                  <w:proofErr w:type="spellStart"/>
                  <w:r w:rsidRPr="0064284A">
                    <w:rPr>
                      <w:rFonts w:ascii="Arial" w:hAnsi="Arial" w:cs="Arial"/>
                      <w:color w:val="000000"/>
                      <w:szCs w:val="24"/>
                    </w:rPr>
                    <w:t>godine</w:t>
                  </w:r>
                  <w:proofErr w:type="spellEnd"/>
                </w:p>
                <w:p w14:paraId="5D07A0D9" w14:textId="77777777" w:rsidR="00B726EA" w:rsidRPr="0064284A" w:rsidRDefault="00B726EA" w:rsidP="00653D5C">
                  <w:pPr>
                    <w:ind w:right="540"/>
                    <w:rPr>
                      <w:rFonts w:ascii="Arial" w:hAnsi="Arial" w:cs="Arial"/>
                      <w:color w:val="000000"/>
                      <w:szCs w:val="24"/>
                    </w:rPr>
                  </w:pPr>
                  <w:proofErr w:type="spellStart"/>
                  <w:r w:rsidRPr="0064284A">
                    <w:rPr>
                      <w:rFonts w:ascii="Arial" w:hAnsi="Arial" w:cs="Arial"/>
                      <w:color w:val="000000"/>
                      <w:szCs w:val="24"/>
                    </w:rPr>
                    <w:t>Zapisničarka</w:t>
                  </w:r>
                  <w:proofErr w:type="spellEnd"/>
                  <w:r w:rsidRPr="0064284A">
                    <w:rPr>
                      <w:rFonts w:ascii="Arial" w:hAnsi="Arial" w:cs="Arial"/>
                      <w:color w:val="000000"/>
                      <w:szCs w:val="24"/>
                    </w:rPr>
                    <w:t xml:space="preserve">                                                                        </w:t>
                  </w:r>
                  <w:proofErr w:type="spellStart"/>
                  <w:r w:rsidRPr="0064284A">
                    <w:rPr>
                      <w:rFonts w:ascii="Arial" w:hAnsi="Arial" w:cs="Arial"/>
                      <w:color w:val="000000"/>
                      <w:szCs w:val="24"/>
                    </w:rPr>
                    <w:t>Predsjedni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ca</w:t>
                  </w:r>
                  <w:proofErr w:type="spellEnd"/>
                  <w:r w:rsidRPr="0064284A"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64284A">
                    <w:rPr>
                      <w:rFonts w:ascii="Arial" w:hAnsi="Arial" w:cs="Arial"/>
                      <w:color w:val="000000"/>
                      <w:szCs w:val="24"/>
                    </w:rPr>
                    <w:t>Školskog</w:t>
                  </w:r>
                  <w:proofErr w:type="spellEnd"/>
                  <w:r w:rsidRPr="0064284A"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64284A">
                    <w:rPr>
                      <w:rFonts w:ascii="Arial" w:hAnsi="Arial" w:cs="Arial"/>
                      <w:color w:val="000000"/>
                      <w:szCs w:val="24"/>
                    </w:rPr>
                    <w:t>odbora</w:t>
                  </w:r>
                  <w:proofErr w:type="spellEnd"/>
                </w:p>
                <w:p w14:paraId="08B29933" w14:textId="77777777" w:rsidR="00B726EA" w:rsidRPr="0064284A" w:rsidRDefault="00B726EA" w:rsidP="00653D5C">
                  <w:pPr>
                    <w:ind w:right="540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64284A">
                    <w:rPr>
                      <w:rFonts w:ascii="Arial" w:hAnsi="Arial" w:cs="Arial"/>
                      <w:color w:val="000000"/>
                      <w:szCs w:val="24"/>
                    </w:rPr>
                    <w:t>Jasna Zdilar Pešutić</w:t>
                  </w:r>
                  <w:r w:rsidRPr="0064284A">
                    <w:rPr>
                      <w:rFonts w:ascii="Arial" w:hAnsi="Arial" w:cs="Arial"/>
                      <w:color w:val="000000"/>
                      <w:szCs w:val="24"/>
                    </w:rPr>
                    <w:tab/>
                  </w:r>
                  <w:r w:rsidRPr="0064284A">
                    <w:rPr>
                      <w:rFonts w:ascii="Arial" w:hAnsi="Arial" w:cs="Arial"/>
                      <w:color w:val="000000"/>
                      <w:szCs w:val="24"/>
                    </w:rPr>
                    <w:tab/>
                  </w:r>
                  <w:r w:rsidRPr="0064284A">
                    <w:rPr>
                      <w:rFonts w:ascii="Arial" w:hAnsi="Arial" w:cs="Arial"/>
                      <w:color w:val="000000"/>
                      <w:szCs w:val="24"/>
                    </w:rPr>
                    <w:tab/>
                    <w:t xml:space="preserve">                              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                 Sanja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Cs w:val="24"/>
                    </w:rPr>
                    <w:t>Štubelj</w:t>
                  </w:r>
                  <w:proofErr w:type="spellEnd"/>
                </w:p>
                <w:p w14:paraId="46ABF060" w14:textId="77777777" w:rsidR="00B726EA" w:rsidRPr="0064284A" w:rsidRDefault="00B726EA" w:rsidP="00653D5C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  <w:p w14:paraId="4D316B37" w14:textId="77777777" w:rsidR="00B726EA" w:rsidRPr="0064284A" w:rsidRDefault="00B726EA" w:rsidP="00653D5C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  <w:p w14:paraId="7BEAFCBC" w14:textId="77777777" w:rsidR="00B726EA" w:rsidRPr="0064284A" w:rsidRDefault="00B726EA" w:rsidP="00653D5C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  <w:p w14:paraId="00EEBDC0" w14:textId="77777777" w:rsidR="00B726EA" w:rsidRPr="0064284A" w:rsidRDefault="00B726EA" w:rsidP="00653D5C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  <w:p w14:paraId="61F20F31" w14:textId="77777777" w:rsidR="00B726EA" w:rsidRPr="0064284A" w:rsidRDefault="00B726EA" w:rsidP="00653D5C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64284A">
                    <w:rPr>
                      <w:rFonts w:ascii="Arial" w:hAnsi="Arial" w:cs="Arial"/>
                      <w:szCs w:val="24"/>
                    </w:rPr>
                    <w:lastRenderedPageBreak/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auto"/>
                  <w:vAlign w:val="center"/>
                </w:tcPr>
                <w:p w14:paraId="1E3DBD98" w14:textId="77777777" w:rsidR="00B726EA" w:rsidRPr="0064284A" w:rsidRDefault="00B726EA" w:rsidP="00653D5C">
                  <w:pPr>
                    <w:widowControl w:val="0"/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18" w:type="dxa"/>
                  <w:shd w:val="clear" w:color="auto" w:fill="auto"/>
                  <w:vAlign w:val="center"/>
                </w:tcPr>
                <w:p w14:paraId="419F39A6" w14:textId="77777777" w:rsidR="00B726EA" w:rsidRPr="0064284A" w:rsidRDefault="00B726EA" w:rsidP="00653D5C">
                  <w:pPr>
                    <w:widowControl w:val="0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14736F72" w14:textId="77777777" w:rsidR="00B726EA" w:rsidRPr="0064284A" w:rsidRDefault="00B726EA" w:rsidP="00653D5C">
                  <w:pPr>
                    <w:widowControl w:val="0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2B872F99" w14:textId="77777777" w:rsidR="00B726EA" w:rsidRPr="0064284A" w:rsidRDefault="00B726EA" w:rsidP="00653D5C">
                  <w:pPr>
                    <w:widowControl w:val="0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18" w:type="dxa"/>
                  <w:shd w:val="clear" w:color="auto" w:fill="auto"/>
                  <w:vAlign w:val="center"/>
                </w:tcPr>
                <w:p w14:paraId="7C39C97C" w14:textId="77777777" w:rsidR="00B726EA" w:rsidRPr="0064284A" w:rsidRDefault="00B726EA" w:rsidP="00653D5C">
                  <w:pPr>
                    <w:widowControl w:val="0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19" w:type="dxa"/>
                  <w:shd w:val="clear" w:color="auto" w:fill="auto"/>
                  <w:vAlign w:val="center"/>
                </w:tcPr>
                <w:p w14:paraId="4FF39022" w14:textId="77777777" w:rsidR="00B726EA" w:rsidRPr="0064284A" w:rsidRDefault="00B726EA" w:rsidP="00653D5C">
                  <w:pPr>
                    <w:widowControl w:val="0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4DED4C61" w14:textId="77777777" w:rsidR="00B726EA" w:rsidRPr="0064284A" w:rsidRDefault="00B726EA" w:rsidP="00653D5C">
                  <w:pPr>
                    <w:widowControl w:val="0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16" w:type="dxa"/>
                  <w:shd w:val="clear" w:color="auto" w:fill="auto"/>
                  <w:vAlign w:val="center"/>
                </w:tcPr>
                <w:p w14:paraId="239811E3" w14:textId="77777777" w:rsidR="00B726EA" w:rsidRPr="0064284A" w:rsidRDefault="00B726EA" w:rsidP="00653D5C">
                  <w:pPr>
                    <w:widowControl w:val="0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</w:tbl>
          <w:p w14:paraId="52736A22" w14:textId="77777777" w:rsidR="00B726EA" w:rsidRPr="0064284A" w:rsidRDefault="00B726EA" w:rsidP="00653D5C">
            <w:pPr>
              <w:jc w:val="both"/>
              <w:rPr>
                <w:rFonts w:ascii="Arial" w:hAnsi="Arial" w:cs="Arial"/>
                <w:szCs w:val="24"/>
              </w:rPr>
            </w:pPr>
          </w:p>
          <w:p w14:paraId="30BB79E3" w14:textId="77777777" w:rsidR="00B726EA" w:rsidRPr="0064284A" w:rsidRDefault="00B726EA" w:rsidP="00653D5C">
            <w:pPr>
              <w:jc w:val="both"/>
              <w:rPr>
                <w:rFonts w:ascii="Arial" w:hAnsi="Arial" w:cs="Arial"/>
                <w:szCs w:val="24"/>
              </w:rPr>
            </w:pPr>
          </w:p>
          <w:p w14:paraId="233FC3A5" w14:textId="77777777" w:rsidR="00B726EA" w:rsidRPr="0064284A" w:rsidRDefault="00B726EA" w:rsidP="00653D5C">
            <w:pPr>
              <w:pStyle w:val="Odlomakpopisa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B726EA" w:rsidRPr="0064284A" w14:paraId="0CE45F43" w14:textId="77777777" w:rsidTr="00653D5C">
        <w:trPr>
          <w:trHeight w:val="134"/>
        </w:trPr>
        <w:tc>
          <w:tcPr>
            <w:tcW w:w="426" w:type="dxa"/>
            <w:shd w:val="clear" w:color="auto" w:fill="auto"/>
          </w:tcPr>
          <w:p w14:paraId="47A797F8" w14:textId="77777777" w:rsidR="00B726EA" w:rsidRPr="0064284A" w:rsidRDefault="00B726EA" w:rsidP="00653D5C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Cs w:val="24"/>
              </w:rPr>
            </w:pPr>
          </w:p>
        </w:tc>
        <w:tc>
          <w:tcPr>
            <w:tcW w:w="9600" w:type="dxa"/>
          </w:tcPr>
          <w:p w14:paraId="037DD1C0" w14:textId="77777777" w:rsidR="00B726EA" w:rsidRPr="0064284A" w:rsidRDefault="00B726EA" w:rsidP="00653D5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14:paraId="30273CC5" w14:textId="77777777" w:rsidR="00B726EA" w:rsidRPr="0064284A" w:rsidRDefault="00B726EA" w:rsidP="00B726EA">
      <w:pPr>
        <w:ind w:right="540"/>
        <w:rPr>
          <w:rFonts w:ascii="Arial" w:hAnsi="Arial" w:cs="Arial"/>
          <w:color w:val="000000"/>
          <w:lang w:val="x-none"/>
        </w:rPr>
      </w:pPr>
    </w:p>
    <w:p w14:paraId="6C532A94" w14:textId="77777777" w:rsidR="00B726EA" w:rsidRPr="0064284A" w:rsidRDefault="00B726EA" w:rsidP="00B726EA">
      <w:pPr>
        <w:tabs>
          <w:tab w:val="left" w:pos="2154"/>
          <w:tab w:val="left" w:pos="6064"/>
        </w:tabs>
        <w:ind w:right="540"/>
        <w:rPr>
          <w:rFonts w:ascii="Arial" w:hAnsi="Arial" w:cs="Arial"/>
          <w:color w:val="000000"/>
        </w:rPr>
      </w:pPr>
      <w:r w:rsidRPr="0064284A">
        <w:rPr>
          <w:rFonts w:ascii="Arial" w:hAnsi="Arial" w:cs="Arial"/>
          <w:color w:val="000000"/>
        </w:rPr>
        <w:tab/>
      </w:r>
      <w:r w:rsidRPr="0064284A">
        <w:rPr>
          <w:rFonts w:ascii="Arial" w:hAnsi="Arial" w:cs="Arial"/>
          <w:color w:val="000000"/>
        </w:rPr>
        <w:tab/>
        <w:t>                              </w:t>
      </w:r>
      <w:r w:rsidRPr="0064284A">
        <w:rPr>
          <w:rFonts w:ascii="Arial" w:hAnsi="Arial" w:cs="Arial"/>
          <w:color w:val="000000"/>
          <w:bdr w:val="none" w:sz="0" w:space="0" w:color="auto" w:frame="1"/>
        </w:rPr>
        <w:t xml:space="preserve"> </w:t>
      </w:r>
    </w:p>
    <w:tbl>
      <w:tblPr>
        <w:tblW w:w="1891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0"/>
      </w:tblGrid>
      <w:tr w:rsidR="00B726EA" w:rsidRPr="0064284A" w14:paraId="6AB2351B" w14:textId="77777777" w:rsidTr="00653D5C">
        <w:trPr>
          <w:trHeight w:val="74"/>
        </w:trPr>
        <w:tc>
          <w:tcPr>
            <w:tcW w:w="189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567E0" w14:textId="77777777" w:rsidR="00B726EA" w:rsidRPr="0064284A" w:rsidRDefault="00B726EA" w:rsidP="00653D5C">
            <w:pPr>
              <w:jc w:val="both"/>
              <w:rPr>
                <w:rFonts w:ascii="Arial" w:hAnsi="Arial" w:cs="Arial"/>
                <w:color w:val="000000"/>
              </w:rPr>
            </w:pPr>
          </w:p>
          <w:tbl>
            <w:tblPr>
              <w:tblW w:w="10222" w:type="dxa"/>
              <w:tblLook w:val="01E0" w:firstRow="1" w:lastRow="1" w:firstColumn="1" w:lastColumn="1" w:noHBand="0" w:noVBand="0"/>
            </w:tblPr>
            <w:tblGrid>
              <w:gridCol w:w="18694"/>
            </w:tblGrid>
            <w:tr w:rsidR="00B726EA" w:rsidRPr="0064284A" w14:paraId="3EAC29BA" w14:textId="77777777" w:rsidTr="00653D5C">
              <w:trPr>
                <w:trHeight w:val="121"/>
              </w:trPr>
              <w:tc>
                <w:tcPr>
                  <w:tcW w:w="10222" w:type="dxa"/>
                  <w:shd w:val="clear" w:color="auto" w:fill="auto"/>
                </w:tcPr>
                <w:tbl>
                  <w:tblPr>
                    <w:tblpPr w:leftFromText="180" w:rightFromText="180" w:horzAnchor="margin" w:tblpX="-147" w:tblpY="1"/>
                    <w:tblOverlap w:val="never"/>
                    <w:tblW w:w="10798" w:type="dxa"/>
                    <w:tblLook w:val="01E0" w:firstRow="1" w:lastRow="1" w:firstColumn="1" w:lastColumn="1" w:noHBand="0" w:noVBand="0"/>
                  </w:tblPr>
                  <w:tblGrid>
                    <w:gridCol w:w="1111"/>
                    <w:gridCol w:w="1043"/>
                    <w:gridCol w:w="16324"/>
                  </w:tblGrid>
                  <w:tr w:rsidR="00B726EA" w:rsidRPr="0064284A" w14:paraId="604EB654" w14:textId="77777777" w:rsidTr="00653D5C">
                    <w:trPr>
                      <w:trHeight w:val="117"/>
                    </w:trPr>
                    <w:tc>
                      <w:tcPr>
                        <w:tcW w:w="10348" w:type="dxa"/>
                        <w:gridSpan w:val="3"/>
                      </w:tcPr>
                      <w:tbl>
                        <w:tblPr>
                          <w:tblW w:w="18262" w:type="dxa"/>
                          <w:tblLook w:val="01E0" w:firstRow="1" w:lastRow="1" w:firstColumn="1" w:lastColumn="1" w:noHBand="0" w:noVBand="0"/>
                        </w:tblPr>
                        <w:tblGrid>
                          <w:gridCol w:w="222"/>
                          <w:gridCol w:w="18040"/>
                        </w:tblGrid>
                        <w:tr w:rsidR="00B726EA" w:rsidRPr="0064284A" w14:paraId="0D0EBF97" w14:textId="77777777" w:rsidTr="00653D5C">
                          <w:trPr>
                            <w:trHeight w:val="134"/>
                          </w:trPr>
                          <w:tc>
                            <w:tcPr>
                              <w:tcW w:w="222" w:type="dxa"/>
                              <w:shd w:val="clear" w:color="auto" w:fill="auto"/>
                            </w:tcPr>
                            <w:p w14:paraId="77BEDCCE" w14:textId="77777777" w:rsidR="00B726EA" w:rsidRPr="0064284A" w:rsidRDefault="00B726EA" w:rsidP="00653D5C">
                              <w:pPr>
                                <w:rPr>
                                  <w:rStyle w:val="Istaknuto"/>
                                  <w:rFonts w:ascii="Arial" w:eastAsia="Calibri" w:hAnsi="Arial" w:cs="Arial"/>
                                  <w:i w:val="0"/>
                                  <w:iCs w:val="0"/>
                                  <w:color w:val="000000"/>
                                  <w:szCs w:val="24"/>
                                </w:rPr>
                              </w:pPr>
                              <w:bookmarkStart w:id="1" w:name="_Hlk120102744"/>
                            </w:p>
                          </w:tc>
                          <w:tc>
                            <w:tcPr>
                              <w:tcW w:w="18040" w:type="dxa"/>
                            </w:tcPr>
                            <w:p w14:paraId="7029C245" w14:textId="77777777" w:rsidR="00B726EA" w:rsidRPr="0064284A" w:rsidRDefault="00B726EA" w:rsidP="00653D5C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09D8B456" w14:textId="77777777" w:rsidR="00B726EA" w:rsidRPr="0064284A" w:rsidRDefault="00B726EA" w:rsidP="00653D5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</w:p>
                      <w:p w14:paraId="598B0EB9" w14:textId="77777777" w:rsidR="00B726EA" w:rsidRPr="0064284A" w:rsidRDefault="00B726EA" w:rsidP="00653D5C">
                        <w:pPr>
                          <w:pStyle w:val="Bezproreda"/>
                          <w:jc w:val="both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tbl>
                        <w:tblPr>
                          <w:tblW w:w="10222" w:type="dxa"/>
                          <w:tblLook w:val="01E0" w:firstRow="1" w:lastRow="1" w:firstColumn="1" w:lastColumn="1" w:noHBand="0" w:noVBand="0"/>
                        </w:tblPr>
                        <w:tblGrid>
                          <w:gridCol w:w="426"/>
                          <w:gridCol w:w="9796"/>
                        </w:tblGrid>
                        <w:tr w:rsidR="00B726EA" w:rsidRPr="0064284A" w14:paraId="16576D76" w14:textId="77777777" w:rsidTr="00653D5C">
                          <w:trPr>
                            <w:trHeight w:val="134"/>
                          </w:trPr>
                          <w:tc>
                            <w:tcPr>
                              <w:tcW w:w="426" w:type="dxa"/>
                              <w:shd w:val="clear" w:color="auto" w:fill="auto"/>
                            </w:tcPr>
                            <w:p w14:paraId="46C0B3FC" w14:textId="77777777" w:rsidR="00B726EA" w:rsidRPr="0064284A" w:rsidRDefault="00B726EA" w:rsidP="00653D5C">
                              <w:pPr>
                                <w:rPr>
                                  <w:rStyle w:val="Istaknuto"/>
                                  <w:rFonts w:ascii="Arial" w:eastAsia="Calibri" w:hAnsi="Arial" w:cs="Arial"/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</w:rPr>
                              </w:pPr>
                            </w:p>
                            <w:p w14:paraId="69C5B026" w14:textId="77777777" w:rsidR="00B726EA" w:rsidRPr="0064284A" w:rsidRDefault="00B726EA" w:rsidP="00653D5C">
                              <w:pPr>
                                <w:rPr>
                                  <w:rStyle w:val="Istaknuto"/>
                                  <w:rFonts w:ascii="Arial" w:eastAsia="Calibri" w:hAnsi="Arial" w:cs="Arial"/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</w:rPr>
                              </w:pPr>
                            </w:p>
                            <w:p w14:paraId="60038755" w14:textId="77777777" w:rsidR="00B726EA" w:rsidRPr="0064284A" w:rsidRDefault="00B726EA" w:rsidP="00653D5C">
                              <w:pPr>
                                <w:rPr>
                                  <w:rStyle w:val="Istaknuto"/>
                                  <w:rFonts w:ascii="Arial" w:eastAsia="Calibri" w:hAnsi="Arial" w:cs="Arial"/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9796" w:type="dxa"/>
                            </w:tcPr>
                            <w:p w14:paraId="026BA671" w14:textId="77777777" w:rsidR="00B726EA" w:rsidRPr="0064284A" w:rsidRDefault="00B726EA" w:rsidP="00653D5C">
                              <w:pPr>
                                <w:pStyle w:val="Odlomakpopisa"/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  <w:p w14:paraId="76DCF95D" w14:textId="77777777" w:rsidR="00B726EA" w:rsidRPr="0064284A" w:rsidRDefault="00B726EA" w:rsidP="00653D5C">
                              <w:pPr>
                                <w:pStyle w:val="Odlomakpopisa"/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</w:tc>
                        </w:tr>
                      </w:tbl>
                      <w:p w14:paraId="330EF80C" w14:textId="77777777" w:rsidR="00B726EA" w:rsidRPr="0064284A" w:rsidRDefault="00B726EA" w:rsidP="00653D5C">
                        <w:pPr>
                          <w:pStyle w:val="Odlomakpopisa"/>
                          <w:ind w:left="360"/>
                          <w:jc w:val="both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B726EA" w:rsidRPr="0064284A" w14:paraId="0A0AE54F" w14:textId="77777777" w:rsidTr="00653D5C">
                    <w:trPr>
                      <w:trHeight w:val="545"/>
                    </w:trPr>
                    <w:tc>
                      <w:tcPr>
                        <w:tcW w:w="10348" w:type="dxa"/>
                        <w:gridSpan w:val="3"/>
                      </w:tcPr>
                      <w:p w14:paraId="46B5A9C7" w14:textId="77777777" w:rsidR="00B726EA" w:rsidRPr="0064284A" w:rsidRDefault="00B726EA" w:rsidP="00653D5C">
                        <w:pPr>
                          <w:ind w:right="540"/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</w:rPr>
                        </w:pPr>
                      </w:p>
                      <w:p w14:paraId="423F1B66" w14:textId="77777777" w:rsidR="00B726EA" w:rsidRPr="0064284A" w:rsidRDefault="00B726EA" w:rsidP="00653D5C">
                        <w:pPr>
                          <w:ind w:right="540"/>
                          <w:jc w:val="both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B726EA" w:rsidRPr="0064284A" w14:paraId="07093B03" w14:textId="77777777" w:rsidTr="00653D5C">
                    <w:trPr>
                      <w:gridBefore w:val="1"/>
                      <w:wBefore w:w="671" w:type="dxa"/>
                      <w:trHeight w:val="117"/>
                    </w:trPr>
                    <w:tc>
                      <w:tcPr>
                        <w:tcW w:w="413" w:type="dxa"/>
                        <w:shd w:val="clear" w:color="auto" w:fill="auto"/>
                      </w:tcPr>
                      <w:p w14:paraId="5F0BC597" w14:textId="77777777" w:rsidR="00B726EA" w:rsidRPr="0064284A" w:rsidRDefault="00B726EA" w:rsidP="00653D5C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9714" w:type="dxa"/>
                      </w:tcPr>
                      <w:p w14:paraId="61A80D0B" w14:textId="77777777" w:rsidR="00B726EA" w:rsidRPr="0064284A" w:rsidRDefault="00B726EA" w:rsidP="00653D5C">
                        <w:pPr>
                          <w:jc w:val="both"/>
                          <w:rPr>
                            <w:rFonts w:ascii="Arial" w:eastAsia="Calibri" w:hAnsi="Arial" w:cs="Arial"/>
                            <w:b/>
                            <w:bCs/>
                          </w:rPr>
                        </w:pPr>
                      </w:p>
                    </w:tc>
                  </w:tr>
                </w:tbl>
                <w:p w14:paraId="082997AB" w14:textId="77777777" w:rsidR="00B726EA" w:rsidRPr="0064284A" w:rsidRDefault="00B726EA" w:rsidP="00653D5C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  <w:bookmarkEnd w:id="1"/>
          </w:tbl>
          <w:p w14:paraId="6DC99DA8" w14:textId="77777777" w:rsidR="00B726EA" w:rsidRPr="0064284A" w:rsidRDefault="00B726EA" w:rsidP="00653D5C">
            <w:pPr>
              <w:rPr>
                <w:rFonts w:ascii="Arial" w:hAnsi="Arial" w:cs="Arial"/>
              </w:rPr>
            </w:pPr>
          </w:p>
        </w:tc>
      </w:tr>
    </w:tbl>
    <w:tbl>
      <w:tblPr>
        <w:tblpPr w:leftFromText="180" w:rightFromText="180" w:horzAnchor="margin" w:tblpX="-147" w:tblpY="1"/>
        <w:tblOverlap w:val="never"/>
        <w:tblW w:w="10798" w:type="dxa"/>
        <w:tblLook w:val="01E0" w:firstRow="1" w:lastRow="1" w:firstColumn="1" w:lastColumn="1" w:noHBand="0" w:noVBand="0"/>
      </w:tblPr>
      <w:tblGrid>
        <w:gridCol w:w="10798"/>
      </w:tblGrid>
      <w:tr w:rsidR="00B726EA" w:rsidRPr="0064284A" w14:paraId="780277BA" w14:textId="77777777" w:rsidTr="00653D5C">
        <w:trPr>
          <w:trHeight w:val="117"/>
        </w:trPr>
        <w:tc>
          <w:tcPr>
            <w:tcW w:w="10798" w:type="dxa"/>
          </w:tcPr>
          <w:p w14:paraId="51AC4F68" w14:textId="77777777" w:rsidR="00B726EA" w:rsidRPr="0064284A" w:rsidRDefault="00B726EA" w:rsidP="00653D5C">
            <w:pPr>
              <w:rPr>
                <w:rFonts w:ascii="Arial" w:hAnsi="Arial" w:cs="Arial"/>
                <w:color w:val="000000"/>
              </w:rPr>
            </w:pPr>
            <w:r w:rsidRPr="0064284A">
              <w:rPr>
                <w:rFonts w:ascii="Arial" w:hAnsi="Arial" w:cs="Arial"/>
                <w:color w:val="000000"/>
              </w:rPr>
              <w:tab/>
            </w:r>
          </w:p>
          <w:p w14:paraId="5A6F399F" w14:textId="77777777" w:rsidR="00B726EA" w:rsidRPr="0064284A" w:rsidRDefault="00B726EA" w:rsidP="00653D5C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11B81B27" w14:textId="77777777" w:rsidR="00B726EA" w:rsidRPr="0064284A" w:rsidRDefault="00B726EA" w:rsidP="00B726EA">
      <w:pPr>
        <w:ind w:right="540"/>
        <w:rPr>
          <w:rFonts w:ascii="Arial" w:hAnsi="Arial" w:cs="Arial"/>
          <w:color w:val="000000"/>
        </w:rPr>
      </w:pPr>
    </w:p>
    <w:bookmarkEnd w:id="0"/>
    <w:p w14:paraId="5EF64EF4" w14:textId="77777777" w:rsidR="00B726EA" w:rsidRPr="0064284A" w:rsidRDefault="00B726EA" w:rsidP="00B726EA">
      <w:pPr>
        <w:rPr>
          <w:rFonts w:ascii="Arial" w:hAnsi="Arial" w:cs="Arial"/>
        </w:rPr>
      </w:pPr>
    </w:p>
    <w:p w14:paraId="2A3FD1CA" w14:textId="77777777" w:rsidR="00B726EA" w:rsidRPr="0064284A" w:rsidRDefault="00B726EA" w:rsidP="00B726EA">
      <w:pPr>
        <w:rPr>
          <w:rFonts w:ascii="Arial" w:hAnsi="Arial" w:cs="Arial"/>
        </w:rPr>
      </w:pPr>
    </w:p>
    <w:p w14:paraId="6D60027B" w14:textId="77777777" w:rsidR="00B726EA" w:rsidRPr="0064284A" w:rsidRDefault="00B726EA" w:rsidP="00B726EA">
      <w:pPr>
        <w:rPr>
          <w:rFonts w:ascii="Arial" w:hAnsi="Arial" w:cs="Arial"/>
        </w:rPr>
      </w:pPr>
    </w:p>
    <w:p w14:paraId="174C0932" w14:textId="77777777" w:rsidR="00B726EA" w:rsidRPr="0064284A" w:rsidRDefault="00B726EA" w:rsidP="00B726EA">
      <w:pPr>
        <w:rPr>
          <w:rFonts w:ascii="Arial" w:hAnsi="Arial" w:cs="Arial"/>
        </w:rPr>
      </w:pPr>
    </w:p>
    <w:p w14:paraId="5B0974D7" w14:textId="77777777" w:rsidR="00B726EA" w:rsidRPr="0064284A" w:rsidRDefault="00B726EA" w:rsidP="00B726EA">
      <w:pPr>
        <w:rPr>
          <w:rFonts w:ascii="Arial" w:hAnsi="Arial" w:cs="Arial"/>
        </w:rPr>
      </w:pPr>
    </w:p>
    <w:p w14:paraId="14D4465B" w14:textId="77777777" w:rsidR="00B726EA" w:rsidRPr="0064284A" w:rsidRDefault="00B726EA" w:rsidP="00B726EA">
      <w:pPr>
        <w:rPr>
          <w:rFonts w:ascii="Arial" w:hAnsi="Arial" w:cs="Arial"/>
        </w:rPr>
      </w:pPr>
    </w:p>
    <w:p w14:paraId="2E9BDA44" w14:textId="77777777" w:rsidR="00B726EA" w:rsidRPr="0064284A" w:rsidRDefault="00B726EA" w:rsidP="00B726EA">
      <w:pPr>
        <w:rPr>
          <w:rFonts w:ascii="Arial" w:hAnsi="Arial" w:cs="Arial"/>
        </w:rPr>
      </w:pPr>
    </w:p>
    <w:p w14:paraId="2C1127F0" w14:textId="77777777" w:rsidR="00B726EA" w:rsidRPr="0064284A" w:rsidRDefault="00B726EA" w:rsidP="00B726EA">
      <w:pPr>
        <w:rPr>
          <w:rFonts w:ascii="Arial" w:hAnsi="Arial" w:cs="Arial"/>
        </w:rPr>
      </w:pPr>
    </w:p>
    <w:p w14:paraId="2935F5BC" w14:textId="77777777" w:rsidR="00B726EA" w:rsidRPr="0064284A" w:rsidRDefault="00B726EA" w:rsidP="00B726EA">
      <w:pPr>
        <w:rPr>
          <w:rFonts w:ascii="Arial" w:hAnsi="Arial" w:cs="Arial"/>
        </w:rPr>
      </w:pPr>
    </w:p>
    <w:p w14:paraId="1620F515" w14:textId="77777777" w:rsidR="00B726EA" w:rsidRPr="0064284A" w:rsidRDefault="00B726EA" w:rsidP="00B726EA">
      <w:pPr>
        <w:rPr>
          <w:rFonts w:ascii="Arial" w:hAnsi="Arial" w:cs="Arial"/>
        </w:rPr>
      </w:pPr>
    </w:p>
    <w:p w14:paraId="0966DA8F" w14:textId="77777777" w:rsidR="00B726EA" w:rsidRPr="0064284A" w:rsidRDefault="00B726EA" w:rsidP="00B726EA">
      <w:pPr>
        <w:rPr>
          <w:rFonts w:ascii="Arial" w:hAnsi="Arial" w:cs="Arial"/>
        </w:rPr>
      </w:pPr>
    </w:p>
    <w:p w14:paraId="49DB4EB4" w14:textId="77777777" w:rsidR="00B726EA" w:rsidRPr="0064284A" w:rsidRDefault="00B726EA" w:rsidP="00B726EA">
      <w:pPr>
        <w:rPr>
          <w:rFonts w:ascii="Arial" w:hAnsi="Arial" w:cs="Arial"/>
        </w:rPr>
      </w:pPr>
    </w:p>
    <w:p w14:paraId="7D67366A" w14:textId="77777777" w:rsidR="00B726EA" w:rsidRPr="0064284A" w:rsidRDefault="00B726EA" w:rsidP="00B726EA">
      <w:pPr>
        <w:rPr>
          <w:rFonts w:ascii="Arial" w:hAnsi="Arial" w:cs="Arial"/>
        </w:rPr>
      </w:pPr>
    </w:p>
    <w:p w14:paraId="7B9F7757" w14:textId="77777777" w:rsidR="00B726EA" w:rsidRPr="0064284A" w:rsidRDefault="00B726EA" w:rsidP="00B726EA">
      <w:pPr>
        <w:rPr>
          <w:rFonts w:ascii="Arial" w:hAnsi="Arial" w:cs="Arial"/>
        </w:rPr>
      </w:pPr>
    </w:p>
    <w:p w14:paraId="2FB2481B" w14:textId="77777777" w:rsidR="00B726EA" w:rsidRPr="0064284A" w:rsidRDefault="00B726EA" w:rsidP="00B726EA">
      <w:pPr>
        <w:rPr>
          <w:rFonts w:ascii="Arial" w:hAnsi="Arial" w:cs="Arial"/>
        </w:rPr>
      </w:pPr>
    </w:p>
    <w:p w14:paraId="65850541" w14:textId="77777777" w:rsidR="00B726EA" w:rsidRPr="0064284A" w:rsidRDefault="00B726EA" w:rsidP="00B726EA">
      <w:pPr>
        <w:rPr>
          <w:rFonts w:ascii="Arial" w:hAnsi="Arial" w:cs="Arial"/>
        </w:rPr>
      </w:pPr>
    </w:p>
    <w:p w14:paraId="3B277976" w14:textId="77777777" w:rsidR="00B726EA" w:rsidRDefault="00B726EA" w:rsidP="00B726EA"/>
    <w:p w14:paraId="45DC8EC8" w14:textId="77777777" w:rsidR="005C4E7B" w:rsidRDefault="005C4E7B"/>
    <w:sectPr w:rsidR="005C4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C416C"/>
    <w:multiLevelType w:val="hybridMultilevel"/>
    <w:tmpl w:val="D390DAF0"/>
    <w:lvl w:ilvl="0" w:tplc="9F9A7F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C4624"/>
    <w:multiLevelType w:val="hybridMultilevel"/>
    <w:tmpl w:val="2070E4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251C2"/>
    <w:multiLevelType w:val="hybridMultilevel"/>
    <w:tmpl w:val="98465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EA"/>
    <w:rsid w:val="000B13CD"/>
    <w:rsid w:val="00305AA6"/>
    <w:rsid w:val="005C4E7B"/>
    <w:rsid w:val="006945FF"/>
    <w:rsid w:val="008C71BF"/>
    <w:rsid w:val="008F75FE"/>
    <w:rsid w:val="00B7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CEB6F"/>
  <w15:chartTrackingRefBased/>
  <w15:docId w15:val="{3C7D5256-67BB-44F2-86FA-BCB9B4E8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6EA"/>
    <w:rPr>
      <w:kern w:val="2"/>
      <w:lang w:val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726EA"/>
    <w:pPr>
      <w:ind w:left="720"/>
      <w:contextualSpacing/>
    </w:pPr>
  </w:style>
  <w:style w:type="character" w:styleId="Istaknuto">
    <w:name w:val="Emphasis"/>
    <w:qFormat/>
    <w:rsid w:val="00B726EA"/>
    <w:rPr>
      <w:i/>
      <w:iCs/>
    </w:rPr>
  </w:style>
  <w:style w:type="paragraph" w:styleId="Bezproreda">
    <w:name w:val="No Spacing"/>
    <w:link w:val="BezproredaChar"/>
    <w:uiPriority w:val="1"/>
    <w:qFormat/>
    <w:rsid w:val="00B726E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B726E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2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7</Pages>
  <Words>1868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Zdilar Pešutić</dc:creator>
  <cp:keywords/>
  <dc:description/>
  <cp:lastModifiedBy>Jasna Zdilar Pešutić</cp:lastModifiedBy>
  <cp:revision>3</cp:revision>
  <dcterms:created xsi:type="dcterms:W3CDTF">2025-07-14T10:27:00Z</dcterms:created>
  <dcterms:modified xsi:type="dcterms:W3CDTF">2025-07-15T09:39:00Z</dcterms:modified>
</cp:coreProperties>
</file>