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1B32BA" w:rsidRPr="008501C0" w14:paraId="31ECB17A" w14:textId="77777777" w:rsidTr="00B7609A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71F6" w14:textId="2F6457BC" w:rsidR="001B32BA" w:rsidRPr="001B32BA" w:rsidRDefault="001B32BA" w:rsidP="00B760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B32BA">
              <w:rPr>
                <w:rFonts w:cs="Arial"/>
                <w:b/>
                <w:bCs/>
                <w:sz w:val="22"/>
                <w:szCs w:val="22"/>
              </w:rPr>
              <w:t>SKRAĆENI ZAPISNIK</w:t>
            </w:r>
          </w:p>
        </w:tc>
      </w:tr>
      <w:tr w:rsidR="001B32BA" w:rsidRPr="008501C0" w14:paraId="115D52D3" w14:textId="77777777" w:rsidTr="00B7609A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5741" w14:textId="77777777" w:rsidR="001B32BA" w:rsidRPr="001B32BA" w:rsidRDefault="001B32BA" w:rsidP="00B7609A">
            <w:pPr>
              <w:jc w:val="both"/>
              <w:rPr>
                <w:rFonts w:cs="Arial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43F25F2" w14:textId="77777777" w:rsidR="001B32BA" w:rsidRPr="008501C0" w:rsidRDefault="001B32BA" w:rsidP="001B32BA">
      <w:pPr>
        <w:ind w:right="540"/>
        <w:jc w:val="center"/>
        <w:rPr>
          <w:rFonts w:cs="Arial"/>
          <w:color w:val="000000" w:themeColor="text1"/>
          <w:sz w:val="22"/>
          <w:szCs w:val="22"/>
        </w:rPr>
      </w:pPr>
    </w:p>
    <w:p w14:paraId="459F7EB8" w14:textId="77777777" w:rsidR="001B32BA" w:rsidRPr="008501C0" w:rsidRDefault="001B32BA" w:rsidP="001B32BA">
      <w:pPr>
        <w:ind w:right="540"/>
        <w:rPr>
          <w:rFonts w:cs="Arial"/>
          <w:color w:val="000000" w:themeColor="text1"/>
          <w:sz w:val="22"/>
          <w:szCs w:val="22"/>
          <w:lang w:val="x-none"/>
        </w:rPr>
      </w:pPr>
    </w:p>
    <w:p w14:paraId="12CD2F77" w14:textId="77777777" w:rsidR="001B32BA" w:rsidRPr="008501C0" w:rsidRDefault="001B32BA" w:rsidP="001B32BA">
      <w:pPr>
        <w:jc w:val="both"/>
        <w:rPr>
          <w:rFonts w:cs="Arial"/>
          <w:color w:val="000000" w:themeColor="text1"/>
          <w:sz w:val="22"/>
          <w:szCs w:val="22"/>
        </w:rPr>
      </w:pPr>
      <w:r w:rsidRPr="008501C0">
        <w:rPr>
          <w:rFonts w:cs="Arial"/>
          <w:b/>
          <w:bCs/>
          <w:color w:val="000000" w:themeColor="text1"/>
          <w:sz w:val="22"/>
          <w:szCs w:val="22"/>
        </w:rPr>
        <w:t>5</w:t>
      </w:r>
      <w:r>
        <w:rPr>
          <w:rFonts w:cs="Arial"/>
          <w:b/>
          <w:bCs/>
          <w:color w:val="000000" w:themeColor="text1"/>
          <w:sz w:val="22"/>
          <w:szCs w:val="22"/>
        </w:rPr>
        <w:t>3</w:t>
      </w:r>
      <w:r w:rsidRPr="008501C0">
        <w:rPr>
          <w:rFonts w:cs="Arial"/>
          <w:b/>
          <w:bCs/>
          <w:color w:val="000000" w:themeColor="text1"/>
          <w:sz w:val="22"/>
          <w:szCs w:val="22"/>
        </w:rPr>
        <w:t>.</w:t>
      </w:r>
      <w:r w:rsidRPr="008501C0">
        <w:rPr>
          <w:rFonts w:cs="Arial"/>
          <w:color w:val="000000" w:themeColor="text1"/>
          <w:sz w:val="22"/>
          <w:szCs w:val="22"/>
        </w:rPr>
        <w:t xml:space="preserve"> sjednica Školskog odbora Osnovne škole „Vladimir Nazor“ Križevci održane u </w:t>
      </w:r>
      <w:r>
        <w:rPr>
          <w:rFonts w:cs="Arial"/>
          <w:color w:val="000000" w:themeColor="text1"/>
          <w:sz w:val="22"/>
          <w:szCs w:val="22"/>
        </w:rPr>
        <w:t>četvrtak</w:t>
      </w:r>
      <w:r w:rsidRPr="008501C0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3</w:t>
      </w:r>
      <w:r w:rsidRPr="008501C0">
        <w:rPr>
          <w:rFonts w:cs="Arial"/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listopada </w:t>
      </w:r>
      <w:r w:rsidRPr="008501C0">
        <w:rPr>
          <w:rFonts w:cs="Arial"/>
          <w:color w:val="000000" w:themeColor="text1"/>
          <w:sz w:val="22"/>
          <w:szCs w:val="22"/>
        </w:rPr>
        <w:t xml:space="preserve">2024. godine </w:t>
      </w:r>
      <w:r>
        <w:rPr>
          <w:rFonts w:cs="Arial"/>
          <w:color w:val="000000" w:themeColor="text1"/>
          <w:sz w:val="22"/>
          <w:szCs w:val="22"/>
        </w:rPr>
        <w:t>s početkom u 19,00 sati u školskoj zbornici.</w:t>
      </w:r>
      <w:r w:rsidRPr="008501C0">
        <w:rPr>
          <w:rFonts w:cs="Arial"/>
          <w:color w:val="000000" w:themeColor="text1"/>
          <w:sz w:val="22"/>
          <w:szCs w:val="22"/>
        </w:rPr>
        <w:t xml:space="preserve">    </w:t>
      </w:r>
    </w:p>
    <w:p w14:paraId="64A29ACE" w14:textId="77777777" w:rsidR="001B32BA" w:rsidRPr="008501C0" w:rsidRDefault="001B32BA" w:rsidP="001B32BA">
      <w:pPr>
        <w:jc w:val="both"/>
        <w:rPr>
          <w:rFonts w:cs="Arial"/>
          <w:color w:val="000000" w:themeColor="text1"/>
          <w:sz w:val="22"/>
          <w:szCs w:val="22"/>
          <w:lang w:val="x-none"/>
        </w:rPr>
      </w:pPr>
      <w:r w:rsidRPr="008501C0">
        <w:rPr>
          <w:rFonts w:cs="Arial"/>
          <w:color w:val="000000" w:themeColor="text1"/>
          <w:sz w:val="22"/>
          <w:szCs w:val="22"/>
        </w:rPr>
        <w:t xml:space="preserve">Sjednica započela u </w:t>
      </w:r>
      <w:r>
        <w:rPr>
          <w:rFonts w:cs="Arial"/>
          <w:color w:val="000000" w:themeColor="text1"/>
          <w:sz w:val="22"/>
          <w:szCs w:val="22"/>
        </w:rPr>
        <w:t>19</w:t>
      </w:r>
      <w:r w:rsidRPr="008501C0">
        <w:rPr>
          <w:rFonts w:cs="Arial"/>
          <w:color w:val="000000" w:themeColor="text1"/>
          <w:sz w:val="22"/>
          <w:szCs w:val="22"/>
        </w:rPr>
        <w:t>:</w:t>
      </w:r>
      <w:r>
        <w:rPr>
          <w:rFonts w:cs="Arial"/>
          <w:color w:val="000000" w:themeColor="text1"/>
          <w:sz w:val="22"/>
          <w:szCs w:val="22"/>
        </w:rPr>
        <w:t>15</w:t>
      </w:r>
      <w:r w:rsidRPr="008501C0">
        <w:rPr>
          <w:rFonts w:cs="Arial"/>
          <w:color w:val="000000" w:themeColor="text1"/>
          <w:sz w:val="22"/>
          <w:szCs w:val="22"/>
        </w:rPr>
        <w:t xml:space="preserve"> sati</w:t>
      </w:r>
    </w:p>
    <w:p w14:paraId="4D19C1FA" w14:textId="77777777" w:rsidR="001B32BA" w:rsidRPr="008501C0" w:rsidRDefault="001B32BA" w:rsidP="001B32BA">
      <w:pPr>
        <w:ind w:right="540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7033784C" w14:textId="77777777" w:rsidR="001B32BA" w:rsidRPr="008501C0" w:rsidRDefault="001B32BA" w:rsidP="001B32BA">
      <w:pPr>
        <w:tabs>
          <w:tab w:val="left" w:pos="2388"/>
        </w:tabs>
        <w:ind w:right="540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</w:rPr>
        <w:t> </w:t>
      </w:r>
    </w:p>
    <w:p w14:paraId="019AEBB5" w14:textId="77777777" w:rsidR="001B32BA" w:rsidRPr="008501C0" w:rsidRDefault="001B32BA" w:rsidP="001B32BA">
      <w:pPr>
        <w:ind w:right="-2"/>
        <w:jc w:val="both"/>
        <w:rPr>
          <w:rFonts w:cs="Arial"/>
          <w:color w:val="000000"/>
          <w:sz w:val="22"/>
          <w:szCs w:val="22"/>
        </w:rPr>
      </w:pPr>
      <w:proofErr w:type="spellStart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P</w:t>
      </w:r>
      <w:r w:rsidRPr="008501C0">
        <w:rPr>
          <w:rFonts w:cs="Arial"/>
          <w:color w:val="000000"/>
          <w:sz w:val="22"/>
          <w:szCs w:val="22"/>
          <w:u w:val="single"/>
          <w:lang w:val="en-US"/>
        </w:rPr>
        <w:t>ozvani</w:t>
      </w:r>
      <w:proofErr w:type="spellEnd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501C0">
        <w:rPr>
          <w:rFonts w:cs="Arial"/>
          <w:color w:val="000000"/>
          <w:sz w:val="22"/>
          <w:szCs w:val="22"/>
        </w:rPr>
        <w:t xml:space="preserve"> Hrvoje Gužvinec  - predsjednik Školskog odbora, Sanja Štubelj – zamjenica predsjednika Školskog odbora, Ksenija Kranjčec, Sandra Kantar, Gordana Prosenečki, Marko Đurakić i Mario Martinčević;</w:t>
      </w:r>
    </w:p>
    <w:p w14:paraId="2F51280A" w14:textId="77777777" w:rsidR="001B32BA" w:rsidRPr="008501C0" w:rsidRDefault="001B32BA" w:rsidP="001B32BA">
      <w:pPr>
        <w:ind w:right="-2"/>
        <w:jc w:val="both"/>
        <w:rPr>
          <w:rFonts w:cs="Arial"/>
          <w:color w:val="000000"/>
          <w:sz w:val="22"/>
          <w:szCs w:val="22"/>
          <w:u w:val="single"/>
          <w:lang w:val="en-US"/>
        </w:rPr>
      </w:pPr>
      <w:r w:rsidRPr="008501C0">
        <w:rPr>
          <w:rFonts w:cs="Arial"/>
          <w:color w:val="000000"/>
          <w:sz w:val="22"/>
          <w:szCs w:val="22"/>
        </w:rPr>
        <w:t>Sudjelovali: Hrvoje Gužvinec  - predsjednik Školskog odbora, Sanja Štubelj – zamjenica predsjednika Školskog odbora, Gordana Prosenečki</w:t>
      </w:r>
      <w:r>
        <w:rPr>
          <w:rFonts w:cs="Arial"/>
          <w:color w:val="000000"/>
          <w:sz w:val="22"/>
          <w:szCs w:val="22"/>
        </w:rPr>
        <w:t xml:space="preserve"> i Ksenija Kranjčec.</w:t>
      </w:r>
    </w:p>
    <w:p w14:paraId="5779E4B2" w14:textId="77777777" w:rsidR="001B32BA" w:rsidRPr="008501C0" w:rsidRDefault="001B32BA" w:rsidP="001B32BA">
      <w:pPr>
        <w:ind w:right="-2"/>
        <w:jc w:val="both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  <w:u w:val="single"/>
          <w:lang w:val="en-US"/>
        </w:rPr>
        <w:t>Z</w:t>
      </w:r>
      <w:proofErr w:type="spellStart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apisničar</w:t>
      </w:r>
      <w:r w:rsidRPr="008501C0">
        <w:rPr>
          <w:rFonts w:cs="Arial"/>
          <w:color w:val="000000"/>
          <w:sz w:val="22"/>
          <w:szCs w:val="22"/>
          <w:u w:val="single"/>
        </w:rPr>
        <w:t>ka</w:t>
      </w:r>
      <w:proofErr w:type="spellEnd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501C0">
        <w:rPr>
          <w:rFonts w:cs="Arial"/>
          <w:color w:val="000000"/>
          <w:sz w:val="22"/>
          <w:szCs w:val="22"/>
          <w:lang w:val="x-none"/>
        </w:rPr>
        <w:t xml:space="preserve"> </w:t>
      </w:r>
      <w:r w:rsidRPr="008501C0">
        <w:rPr>
          <w:rFonts w:cs="Arial"/>
          <w:color w:val="000000"/>
          <w:sz w:val="22"/>
          <w:szCs w:val="22"/>
        </w:rPr>
        <w:t>Jasna Zdilar Pešutić</w:t>
      </w:r>
    </w:p>
    <w:p w14:paraId="7A475691" w14:textId="77777777" w:rsidR="001B32BA" w:rsidRPr="008501C0" w:rsidRDefault="001B32BA" w:rsidP="001B32BA">
      <w:pPr>
        <w:ind w:right="540"/>
        <w:rPr>
          <w:rFonts w:cs="Arial"/>
          <w:color w:val="000000"/>
          <w:sz w:val="22"/>
          <w:szCs w:val="22"/>
          <w:lang w:val="x-none"/>
        </w:rPr>
      </w:pPr>
      <w:r w:rsidRPr="008501C0">
        <w:rPr>
          <w:rFonts w:cs="Arial"/>
          <w:color w:val="000000"/>
          <w:sz w:val="22"/>
          <w:szCs w:val="22"/>
          <w:u w:val="single"/>
        </w:rPr>
        <w:t>Ravnatelj:</w:t>
      </w:r>
      <w:r w:rsidRPr="008501C0">
        <w:rPr>
          <w:rFonts w:cs="Arial"/>
          <w:color w:val="000000"/>
          <w:sz w:val="22"/>
          <w:szCs w:val="22"/>
        </w:rPr>
        <w:t xml:space="preserve"> Igor Brkić</w:t>
      </w:r>
      <w:r w:rsidRPr="008501C0">
        <w:rPr>
          <w:rFonts w:cs="Arial"/>
          <w:color w:val="000000"/>
          <w:sz w:val="22"/>
          <w:szCs w:val="22"/>
          <w:lang w:val="x-none"/>
        </w:rPr>
        <w:t>  </w:t>
      </w:r>
    </w:p>
    <w:p w14:paraId="1DD0EF5D" w14:textId="77777777" w:rsidR="001B32BA" w:rsidRPr="008501C0" w:rsidRDefault="001B32BA" w:rsidP="001B32BA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</w:rPr>
        <w:tab/>
      </w:r>
      <w:r w:rsidRPr="008501C0">
        <w:rPr>
          <w:rFonts w:cs="Arial"/>
          <w:color w:val="000000"/>
          <w:sz w:val="22"/>
          <w:szCs w:val="22"/>
        </w:rPr>
        <w:tab/>
        <w:t>                              </w:t>
      </w:r>
      <w:r w:rsidRPr="008501C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1B32BA" w:rsidRPr="008501C0" w14:paraId="1907B265" w14:textId="77777777" w:rsidTr="00B7609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91D5" w14:textId="77777777" w:rsidR="001B32BA" w:rsidRPr="008501C0" w:rsidRDefault="001B32BA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1B32BA" w:rsidRPr="008501C0" w14:paraId="35982D0C" w14:textId="77777777" w:rsidTr="00B7609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1B32BA" w:rsidRPr="008501C0" w14:paraId="3CC64C3F" w14:textId="77777777" w:rsidTr="00B7609A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66968A6B" w14:textId="77777777" w:rsidR="001B32BA" w:rsidRPr="008532A6" w:rsidRDefault="001B32BA" w:rsidP="00B7609A">
                        <w:pPr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  <w:szCs w:val="24"/>
                            <w:bdr w:val="none" w:sz="0" w:space="0" w:color="auto" w:frame="1"/>
                          </w:rPr>
                        </w:pPr>
                        <w:r w:rsidRPr="008532A6">
                          <w:rPr>
                            <w:rFonts w:cs="Arial"/>
                            <w:b/>
                            <w:bCs/>
                            <w:color w:val="000000"/>
                            <w:szCs w:val="24"/>
                            <w:bdr w:val="none" w:sz="0" w:space="0" w:color="auto" w:frame="1"/>
                          </w:rPr>
                          <w:t>   </w:t>
                        </w:r>
                      </w:p>
                      <w:p w14:paraId="38491665" w14:textId="77777777" w:rsidR="001B32BA" w:rsidRPr="008532A6" w:rsidRDefault="001B32BA" w:rsidP="00B7609A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 xml:space="preserve">Za sjednicu predložen sljedeći </w:t>
                        </w:r>
                      </w:p>
                      <w:p w14:paraId="66ECED44" w14:textId="77777777" w:rsidR="001B32BA" w:rsidRPr="008532A6" w:rsidRDefault="001B32BA" w:rsidP="00B7609A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</w:rPr>
                          <w:t>                  </w:t>
                        </w:r>
                      </w:p>
                      <w:p w14:paraId="2A573BF8" w14:textId="77777777" w:rsidR="001B32BA" w:rsidRPr="008532A6" w:rsidRDefault="001B32BA" w:rsidP="00B7609A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>DNEVNI RED:</w:t>
                        </w:r>
                      </w:p>
                      <w:tbl>
                        <w:tblPr>
                          <w:tblW w:w="10026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1B32BA" w:rsidRPr="008532A6" w14:paraId="00BA5FBF" w14:textId="77777777" w:rsidTr="00B7609A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6FA47301" w14:textId="77777777" w:rsidR="001B32BA" w:rsidRPr="008532A6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12DCEC5F" w14:textId="77777777" w:rsidR="001B32BA" w:rsidRPr="008532A6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4064A77E" w14:textId="77777777" w:rsidR="001B32BA" w:rsidRPr="008532A6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707A6257" w14:textId="77777777" w:rsidR="001B32BA" w:rsidRPr="008532A6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</w:tcPr>
                            <w:p w14:paraId="221B8E15" w14:textId="77777777" w:rsidR="001B32BA" w:rsidRPr="008532A6" w:rsidRDefault="001B32BA" w:rsidP="00B7609A">
                              <w:pPr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  <w:p w14:paraId="16267374" w14:textId="77777777" w:rsidR="001B32BA" w:rsidRPr="008532A6" w:rsidRDefault="001B32BA" w:rsidP="00B7609A">
                              <w:pPr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1. 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Usvajanje zapisnika sa 52. elektronske sjednice Školskog odbora od 20. rujna 2024. godine;</w:t>
                              </w:r>
                            </w:p>
                            <w:p w14:paraId="5C27E8FA" w14:textId="77777777" w:rsidR="001B32BA" w:rsidRPr="008532A6" w:rsidRDefault="001B32BA" w:rsidP="00B7609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Suglasnost za prijedlog otpisa knjižnične građe iz fonda školske knjižnice Osnovne škole </w:t>
                              </w:r>
                            </w:p>
                            <w:p w14:paraId="0221B5BC" w14:textId="77777777" w:rsidR="001B32BA" w:rsidRPr="008532A6" w:rsidRDefault="001B32BA" w:rsidP="00B7609A">
                              <w:pPr>
                                <w:pStyle w:val="ListParagraph"/>
                                <w:shd w:val="clear" w:color="auto" w:fill="FFFFFF"/>
                                <w:spacing w:before="100" w:beforeAutospacing="1" w:after="100" w:afterAutospacing="1"/>
                                <w:ind w:left="360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„Vladimir 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Nazor“ Križevci;</w:t>
                              </w:r>
                            </w:p>
                            <w:p w14:paraId="6245AAE3" w14:textId="77777777" w:rsidR="001B32BA" w:rsidRDefault="001B32BA" w:rsidP="00B7609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Usvajanje Godišnjeg plana i programa i kurikuluma Osnovne škole „Vladimir Nazor“ </w:t>
                              </w:r>
                            </w:p>
                            <w:p w14:paraId="25B9AC26" w14:textId="77777777" w:rsidR="001B32BA" w:rsidRPr="008532A6" w:rsidRDefault="001B32BA" w:rsidP="00B7609A">
                              <w:pPr>
                                <w:pStyle w:val="ListParagraph"/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Križevci </w:t>
                              </w: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z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a 2024/2025 godinu;</w:t>
                              </w:r>
                            </w:p>
                            <w:p w14:paraId="5F0DE493" w14:textId="77777777" w:rsidR="001B32BA" w:rsidRPr="008532A6" w:rsidRDefault="001B32BA" w:rsidP="00B7609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Razno</w:t>
                              </w:r>
                            </w:p>
                            <w:tbl>
                              <w:tblPr>
                                <w:tblW w:w="1782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78"/>
                                <w:gridCol w:w="1018"/>
                                <w:gridCol w:w="1018"/>
                                <w:gridCol w:w="1017"/>
                                <w:gridCol w:w="1020"/>
                                <w:gridCol w:w="1018"/>
                                <w:gridCol w:w="1019"/>
                                <w:gridCol w:w="1020"/>
                                <w:gridCol w:w="1016"/>
                              </w:tblGrid>
                              <w:tr w:rsidR="001B32BA" w:rsidRPr="008532A6" w14:paraId="30C5B855" w14:textId="77777777" w:rsidTr="00B7609A">
                                <w:trPr>
                                  <w:trHeight w:val="70"/>
                                </w:trPr>
                                <w:tc>
                                  <w:tcPr>
                                    <w:tcW w:w="9678" w:type="dxa"/>
                                    <w:shd w:val="clear" w:color="auto" w:fill="auto"/>
                                    <w:vAlign w:val="center"/>
                                  </w:tcPr>
                                  <w:p w14:paraId="3306D324" w14:textId="77777777" w:rsidR="001B32BA" w:rsidRPr="008532A6" w:rsidRDefault="001B32BA" w:rsidP="00B7609A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  <w:p w14:paraId="27DEC999" w14:textId="77777777" w:rsidR="001B32BA" w:rsidRPr="008532A6" w:rsidRDefault="001B32BA" w:rsidP="00B7609A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  <w:p w14:paraId="28E8AAEE" w14:textId="77777777" w:rsidR="001B32BA" w:rsidRPr="008532A6" w:rsidRDefault="001B32BA" w:rsidP="00B7609A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  <w:p w14:paraId="00F236B8" w14:textId="77777777" w:rsidR="001B32BA" w:rsidRPr="008532A6" w:rsidRDefault="001B32BA" w:rsidP="00B760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 w:rsidRPr="008532A6">
                                      <w:rPr>
                                        <w:rFonts w:cs="Arial"/>
                                        <w:szCs w:val="24"/>
                                      </w:rPr>
                                      <w:t>Prilikom čitanja 1. točke –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 xml:space="preserve"> usvajanja zapisnika, 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Dolazi do izmjene, Mislavu Bubnjaru se 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>od 1. listopada 2024. godine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>povećava satnica na 20 sati tjedno odnosno pola radnog vremena.. Svi prisutni članovi suglasni su podizanjem ruku „ZA“.</w:t>
                                    </w:r>
                                  </w:p>
                                  <w:p w14:paraId="6729E48B" w14:textId="77777777" w:rsidR="001B32BA" w:rsidRPr="008532A6" w:rsidRDefault="001B32BA" w:rsidP="00B760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 w:rsidRPr="008532A6">
                                      <w:rPr>
                                        <w:szCs w:val="24"/>
                                      </w:rPr>
                                      <w:t>U prijedlogu za otpis, odobrava se otpis 254 svezaka knjižne građe, što čini 4% cjelokupnog fonda knjižnice u vrijednosti od 520,00 eura. Svi prisutni članovi suglasni su sa točkom 2. podizanjem ruku „ZA“.</w:t>
                                    </w:r>
                                  </w:p>
                                  <w:p w14:paraId="4D318F13" w14:textId="77777777" w:rsidR="001B32BA" w:rsidRPr="008532A6" w:rsidRDefault="001B32BA" w:rsidP="00B760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 w:rsidRPr="008532A6">
                                      <w:rPr>
                                        <w:szCs w:val="24"/>
                                      </w:rPr>
                                      <w:t xml:space="preserve">Ravnatelj 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ukratko predstavlja izmjene Godišnjeg plana i prigrama te Školskog kurikuluma za 2024/2025 te koje su novosti. </w:t>
                                    </w:r>
                                  </w:p>
                                  <w:p w14:paraId="014AA466" w14:textId="77777777" w:rsidR="001B32BA" w:rsidRPr="008532A6" w:rsidRDefault="001B32BA" w:rsidP="00B7609A">
                                    <w:pPr>
                                      <w:pStyle w:val="ListParagraph"/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P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>redsjednik Škol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s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>kog odbora daje točku dnevnog reda na glasanje, svi prisutni članovi suglasnisu su podizanjem ruku „ZA“.</w:t>
                                    </w:r>
                                  </w:p>
                                  <w:p w14:paraId="27917E06" w14:textId="77777777" w:rsidR="001B32BA" w:rsidRPr="008532A6" w:rsidRDefault="001B32BA" w:rsidP="00B760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 w:rsidRPr="008532A6">
                                      <w:rPr>
                                        <w:szCs w:val="24"/>
                                      </w:rPr>
                                      <w:t xml:space="preserve">Razno – pod točkom razno ravnatelj obavještava prisutne članove Školskog odbora, kako će ove školske godine nastojati organizirati prehranu u 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svim </w:t>
                                    </w:r>
                                    <w:r w:rsidRPr="008532A6">
                                      <w:rPr>
                                        <w:szCs w:val="24"/>
                                      </w:rPr>
                                      <w:t>područnim školama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14:paraId="139C8307" w14:textId="77777777" w:rsidR="001B32BA" w:rsidRPr="008532A6" w:rsidRDefault="001B32BA" w:rsidP="00B7609A">
                                    <w:pPr>
                                      <w:pStyle w:val="ListParagraph"/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  <w:r w:rsidRPr="008532A6">
                                      <w:rPr>
                                        <w:szCs w:val="24"/>
                                      </w:rPr>
                                      <w:t>Predsjednik Školskog odbora zaključuje sjednicu u 20,05 sati.</w:t>
                                    </w:r>
                                  </w:p>
                                  <w:p w14:paraId="765B5029" w14:textId="77777777" w:rsidR="001B32BA" w:rsidRPr="008532A6" w:rsidRDefault="001B32BA" w:rsidP="00B7609A">
                                    <w:pPr>
                                      <w:pStyle w:val="ListParagraph"/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14:paraId="281F2853" w14:textId="77777777" w:rsidR="001B32BA" w:rsidRPr="008532A6" w:rsidRDefault="001B32BA" w:rsidP="00B7609A">
                                    <w:pPr>
                                      <w:pStyle w:val="ListParagraph"/>
                                      <w:jc w:val="both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14:paraId="4E5AB7EA" w14:textId="77777777" w:rsidR="001B32BA" w:rsidRPr="008532A6" w:rsidRDefault="001B32BA" w:rsidP="00B7609A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094E7BF4" w14:textId="77777777" w:rsidR="001B32BA" w:rsidRPr="008532A6" w:rsidRDefault="001B32BA" w:rsidP="00B7609A">
                                    <w:pPr>
                                      <w:widowControl w:val="0"/>
                                      <w:jc w:val="center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22F6015B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7" w:type="dxa"/>
                                    <w:shd w:val="clear" w:color="auto" w:fill="auto"/>
                                    <w:vAlign w:val="center"/>
                                  </w:tcPr>
                                  <w:p w14:paraId="529EBEFF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0" w:type="dxa"/>
                                    <w:shd w:val="clear" w:color="auto" w:fill="auto"/>
                                    <w:vAlign w:val="center"/>
                                  </w:tcPr>
                                  <w:p w14:paraId="2F122CA8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6747F1B6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9" w:type="dxa"/>
                                    <w:shd w:val="clear" w:color="auto" w:fill="auto"/>
                                    <w:vAlign w:val="center"/>
                                  </w:tcPr>
                                  <w:p w14:paraId="4E10B44C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0" w:type="dxa"/>
                                    <w:shd w:val="clear" w:color="auto" w:fill="auto"/>
                                    <w:vAlign w:val="center"/>
                                  </w:tcPr>
                                  <w:p w14:paraId="71E1B800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6" w:type="dxa"/>
                                    <w:shd w:val="clear" w:color="auto" w:fill="auto"/>
                                    <w:vAlign w:val="center"/>
                                  </w:tcPr>
                                  <w:p w14:paraId="7B5CC385" w14:textId="77777777" w:rsidR="001B32BA" w:rsidRPr="008532A6" w:rsidRDefault="001B32BA" w:rsidP="00B7609A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3D67D3" w14:textId="77777777" w:rsidR="001B32BA" w:rsidRPr="008532A6" w:rsidRDefault="001B32BA" w:rsidP="00B7609A">
                              <w:pPr>
                                <w:tabs>
                                  <w:tab w:val="left" w:pos="2060"/>
                                  <w:tab w:val="center" w:pos="4690"/>
                                </w:tabs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>KLASA: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  <w:t xml:space="preserve"> 007-04/24-02/53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ab/>
                              </w:r>
                            </w:p>
                            <w:p w14:paraId="4AC4E66A" w14:textId="77777777" w:rsidR="001B32BA" w:rsidRPr="008532A6" w:rsidRDefault="001B32BA" w:rsidP="00B7609A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 xml:space="preserve">URBROJ: 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  <w:t>2137-43-03-24-2</w:t>
                              </w:r>
                            </w:p>
                            <w:p w14:paraId="7EC84566" w14:textId="77777777" w:rsidR="001B32BA" w:rsidRPr="008532A6" w:rsidRDefault="001B32BA" w:rsidP="00B7609A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  <w:p w14:paraId="641B528A" w14:textId="77777777" w:rsidR="001B32BA" w:rsidRPr="008532A6" w:rsidRDefault="001B32BA" w:rsidP="00B7609A">
                              <w:pPr>
                                <w:ind w:right="540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Križevci, 4. listopada 2024. godine</w:t>
                              </w:r>
                            </w:p>
                            <w:p w14:paraId="073A54F9" w14:textId="77777777" w:rsidR="001B32BA" w:rsidRPr="008532A6" w:rsidRDefault="001B32BA" w:rsidP="00B7609A">
                              <w:pPr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  <w:p w14:paraId="63DA89F4" w14:textId="77777777" w:rsidR="001B32BA" w:rsidRPr="008532A6" w:rsidRDefault="001B32BA" w:rsidP="00B7609A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Zapisničarka                                                                                      Predsjednik Školskog odbora</w:t>
                              </w:r>
                            </w:p>
                            <w:p w14:paraId="51EB4A01" w14:textId="77777777" w:rsidR="001B32BA" w:rsidRPr="008532A6" w:rsidRDefault="001B32BA" w:rsidP="00B7609A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Jasna Zdilar Pešutić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  <w:t xml:space="preserve">   mr. sp. Hrvoje Gužvinec, dipl. ing</w:t>
                              </w:r>
                            </w:p>
                            <w:p w14:paraId="4A82E593" w14:textId="77777777" w:rsidR="001B32BA" w:rsidRPr="008532A6" w:rsidRDefault="001B32BA" w:rsidP="00B7609A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14:paraId="1AAE10BF" w14:textId="77777777" w:rsidR="001B32BA" w:rsidRPr="008532A6" w:rsidRDefault="001B32BA" w:rsidP="00B7609A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14:paraId="22C528C9" w14:textId="77777777" w:rsidR="001B32BA" w:rsidRPr="008532A6" w:rsidRDefault="001B32BA" w:rsidP="00B7609A">
                              <w:pPr>
                                <w:pStyle w:val="ListParagrap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8F7C2C2" w14:textId="77777777" w:rsidR="001B32BA" w:rsidRPr="008501C0" w:rsidRDefault="001B32BA" w:rsidP="00B7609A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3F751F0" w14:textId="77777777" w:rsidR="001B32BA" w:rsidRPr="008501C0" w:rsidRDefault="001B32BA" w:rsidP="00B7609A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1B32BA" w:rsidRPr="008501C0" w14:paraId="27AAC62B" w14:textId="77777777" w:rsidTr="00B7609A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620F31C6" w14:textId="77777777" w:rsidR="001B32BA" w:rsidRPr="008501C0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BF5695B" w14:textId="77777777" w:rsidR="001B32BA" w:rsidRPr="008501C0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0D7CA4A" w14:textId="77777777" w:rsidR="001B32BA" w:rsidRPr="008501C0" w:rsidRDefault="001B32BA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417820AC" w14:textId="77777777" w:rsidR="001B32BA" w:rsidRPr="008501C0" w:rsidRDefault="001B32BA" w:rsidP="00B7609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88A2B45" w14:textId="77777777" w:rsidR="001B32BA" w:rsidRPr="008501C0" w:rsidRDefault="001B32BA" w:rsidP="00B7609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D8119C4" w14:textId="77777777" w:rsidR="001B32BA" w:rsidRPr="008501C0" w:rsidRDefault="001B32BA" w:rsidP="00B7609A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32BA" w:rsidRPr="008501C0" w14:paraId="0FC10523" w14:textId="77777777" w:rsidTr="00B7609A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1E67D0C6" w14:textId="77777777" w:rsidR="001B32BA" w:rsidRPr="008501C0" w:rsidRDefault="001B32BA" w:rsidP="00B7609A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32BA" w:rsidRPr="008501C0" w14:paraId="4F260382" w14:textId="77777777" w:rsidTr="00B7609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7AEED4F2" w14:textId="77777777" w:rsidR="001B32BA" w:rsidRPr="008501C0" w:rsidRDefault="001B32BA" w:rsidP="00B7609A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376C41D3" w14:textId="77777777" w:rsidR="001B32BA" w:rsidRPr="008501C0" w:rsidRDefault="001B32BA" w:rsidP="00B7609A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061737D" w14:textId="77777777" w:rsidR="001B32BA" w:rsidRPr="008501C0" w:rsidRDefault="001B32BA" w:rsidP="00B7609A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A04E666" w14:textId="77777777" w:rsidR="001B32BA" w:rsidRPr="008501C0" w:rsidRDefault="001B32BA" w:rsidP="00B7609A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1B32BA" w:rsidRPr="008501C0" w14:paraId="203BDC21" w14:textId="77777777" w:rsidTr="00B7609A">
        <w:trPr>
          <w:trHeight w:val="117"/>
        </w:trPr>
        <w:tc>
          <w:tcPr>
            <w:tcW w:w="10798" w:type="dxa"/>
          </w:tcPr>
          <w:p w14:paraId="57539047" w14:textId="77777777" w:rsidR="001B32BA" w:rsidRPr="008501C0" w:rsidRDefault="001B32BA" w:rsidP="00B7609A">
            <w:pPr>
              <w:rPr>
                <w:rFonts w:cs="Arial"/>
                <w:color w:val="000000"/>
                <w:sz w:val="22"/>
                <w:szCs w:val="22"/>
              </w:rPr>
            </w:pPr>
            <w:r w:rsidRPr="008501C0">
              <w:rPr>
                <w:rFonts w:cs="Arial"/>
                <w:color w:val="000000"/>
                <w:sz w:val="22"/>
                <w:szCs w:val="22"/>
              </w:rPr>
              <w:lastRenderedPageBreak/>
              <w:tab/>
            </w:r>
          </w:p>
          <w:p w14:paraId="3BD2C77D" w14:textId="77777777" w:rsidR="001B32BA" w:rsidRPr="008501C0" w:rsidRDefault="001B32BA" w:rsidP="00B7609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378B009" w14:textId="77777777" w:rsidR="001B32BA" w:rsidRPr="008501C0" w:rsidRDefault="001B32BA" w:rsidP="001B32BA">
      <w:pPr>
        <w:ind w:right="540"/>
        <w:rPr>
          <w:rFonts w:cs="Arial"/>
          <w:color w:val="000000"/>
          <w:sz w:val="22"/>
          <w:szCs w:val="22"/>
        </w:rPr>
      </w:pPr>
    </w:p>
    <w:p w14:paraId="6AD91B11" w14:textId="77777777" w:rsidR="008E6424" w:rsidRPr="001B32BA" w:rsidRDefault="008E6424" w:rsidP="001B32BA"/>
    <w:sectPr w:rsidR="008E6424" w:rsidRPr="001B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5A57"/>
    <w:multiLevelType w:val="hybridMultilevel"/>
    <w:tmpl w:val="E89A23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28628FE2"/>
    <w:lvl w:ilvl="0" w:tplc="71265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51D2"/>
    <w:multiLevelType w:val="hybridMultilevel"/>
    <w:tmpl w:val="45C03E98"/>
    <w:lvl w:ilvl="0" w:tplc="3EBAF5A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FF2"/>
    <w:multiLevelType w:val="hybridMultilevel"/>
    <w:tmpl w:val="95DED8FA"/>
    <w:lvl w:ilvl="0" w:tplc="5DF4CE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70189">
    <w:abstractNumId w:val="1"/>
  </w:num>
  <w:num w:numId="2" w16cid:durableId="701977752">
    <w:abstractNumId w:val="2"/>
  </w:num>
  <w:num w:numId="3" w16cid:durableId="1908373254">
    <w:abstractNumId w:val="0"/>
  </w:num>
  <w:num w:numId="4" w16cid:durableId="102671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BA"/>
    <w:rsid w:val="00186290"/>
    <w:rsid w:val="001B32BA"/>
    <w:rsid w:val="00752A82"/>
    <w:rsid w:val="008E6424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656"/>
  <w15:chartTrackingRefBased/>
  <w15:docId w15:val="{A1142EFF-419F-48DE-A351-E500F656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B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B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1B32BA"/>
    <w:rPr>
      <w:i/>
      <w:iCs/>
    </w:rPr>
  </w:style>
  <w:style w:type="paragraph" w:styleId="NoSpacing">
    <w:name w:val="No Spacing"/>
    <w:link w:val="NoSpacingChar"/>
    <w:uiPriority w:val="1"/>
    <w:qFormat/>
    <w:rsid w:val="001B32BA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1B32BA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2024-10-17T11:30:00Z</dcterms:created>
  <dcterms:modified xsi:type="dcterms:W3CDTF">2024-10-17T11:31:00Z</dcterms:modified>
</cp:coreProperties>
</file>